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AB3D7" w14:textId="77777777" w:rsidR="000924D0" w:rsidRPr="00F25DA3" w:rsidRDefault="000924D0" w:rsidP="00930B38">
      <w:pPr>
        <w:pStyle w:val="Date10"/>
        <w:rPr>
          <w:rStyle w:val="Rfrenceintense"/>
          <w:b w:val="0"/>
          <w:bCs w:val="0"/>
          <w:smallCaps w:val="0"/>
          <w:color w:val="000000" w:themeColor="text1"/>
          <w:spacing w:val="0"/>
        </w:rPr>
      </w:pPr>
      <w:bookmarkStart w:id="0" w:name="_GoBack"/>
      <w:bookmarkEnd w:id="0"/>
    </w:p>
    <w:p w14:paraId="7FC2072F" w14:textId="39A00CB5" w:rsidR="0079276E" w:rsidRDefault="006F3B25" w:rsidP="00B55B58">
      <w:pPr>
        <w:pStyle w:val="Corpsdetexte"/>
        <w:rPr>
          <w:noProof/>
        </w:rPr>
      </w:pPr>
      <w:r w:rsidRPr="006F3B25">
        <w:rPr>
          <w:noProof/>
          <w:lang w:eastAsia="fr-FR"/>
        </w:rPr>
        <w:drawing>
          <wp:anchor distT="0" distB="0" distL="114300" distR="114300" simplePos="0" relativeHeight="251660288" behindDoc="0" locked="0" layoutInCell="1" allowOverlap="1" wp14:anchorId="70B5F257" wp14:editId="0DA7014F">
            <wp:simplePos x="0" y="0"/>
            <wp:positionH relativeFrom="column">
              <wp:posOffset>5420995</wp:posOffset>
            </wp:positionH>
            <wp:positionV relativeFrom="paragraph">
              <wp:posOffset>159748</wp:posOffset>
            </wp:positionV>
            <wp:extent cx="1367155" cy="1447800"/>
            <wp:effectExtent l="0" t="0" r="4445" b="0"/>
            <wp:wrapNone/>
            <wp:docPr id="3" name="Image 27">
              <a:extLst xmlns:a="http://schemas.openxmlformats.org/drawingml/2006/main">
                <a:ext uri="{FF2B5EF4-FFF2-40B4-BE49-F238E27FC236}">
                  <a16:creationId xmlns:a16="http://schemas.microsoft.com/office/drawing/2014/main" id="{4FD968A9-537A-4FDB-B560-F1BF02BF3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7">
                      <a:extLst>
                        <a:ext uri="{FF2B5EF4-FFF2-40B4-BE49-F238E27FC236}">
                          <a16:creationId xmlns:a16="http://schemas.microsoft.com/office/drawing/2014/main" id="{4FD968A9-537A-4FDB-B560-F1BF02BF34A5}"/>
                        </a:ext>
                      </a:extLst>
                    </pic:cNvPr>
                    <pic:cNvPicPr>
                      <a:picLocks noChangeAspect="1"/>
                    </pic:cNvPicPr>
                  </pic:nvPicPr>
                  <pic:blipFill rotWithShape="1">
                    <a:blip r:embed="rId11">
                      <a:extLst>
                        <a:ext uri="{28A0092B-C50C-407E-A947-70E740481C1C}">
                          <a14:useLocalDpi xmlns:a14="http://schemas.microsoft.com/office/drawing/2010/main" val="0"/>
                        </a:ext>
                      </a:extLst>
                    </a:blip>
                    <a:srcRect l="8659" t="1" r="7687" b="3860"/>
                    <a:stretch/>
                  </pic:blipFill>
                  <pic:spPr>
                    <a:xfrm>
                      <a:off x="0" y="0"/>
                      <a:ext cx="1367155" cy="1447800"/>
                    </a:xfrm>
                    <a:prstGeom prst="rect">
                      <a:avLst/>
                    </a:prstGeom>
                  </pic:spPr>
                </pic:pic>
              </a:graphicData>
            </a:graphic>
            <wp14:sizeRelH relativeFrom="page">
              <wp14:pctWidth>0</wp14:pctWidth>
            </wp14:sizeRelH>
            <wp14:sizeRelV relativeFrom="page">
              <wp14:pctHeight>0</wp14:pctHeight>
            </wp14:sizeRelV>
          </wp:anchor>
        </w:drawing>
      </w:r>
    </w:p>
    <w:p w14:paraId="519A8C3C" w14:textId="1B9837C4" w:rsidR="000924D0" w:rsidRDefault="006F3B25" w:rsidP="00B55B58">
      <w:pPr>
        <w:pStyle w:val="Corpsdetexte"/>
      </w:pPr>
      <w:r w:rsidRPr="009578A8">
        <w:rPr>
          <w:noProof/>
          <w:lang w:eastAsia="fr-FR"/>
        </w:rPr>
        <w:drawing>
          <wp:anchor distT="0" distB="0" distL="114300" distR="114300" simplePos="0" relativeHeight="251658240" behindDoc="0" locked="0" layoutInCell="1" allowOverlap="1" wp14:anchorId="17417F01" wp14:editId="3A3B1F0A">
            <wp:simplePos x="0" y="0"/>
            <wp:positionH relativeFrom="column">
              <wp:posOffset>4188460</wp:posOffset>
            </wp:positionH>
            <wp:positionV relativeFrom="paragraph">
              <wp:posOffset>98425</wp:posOffset>
            </wp:positionV>
            <wp:extent cx="1085215" cy="1081405"/>
            <wp:effectExtent l="0" t="0" r="635" b="4445"/>
            <wp:wrapNone/>
            <wp:docPr id="6" name="Picture 1" descr="21-macaron-devdurable_0">
              <a:extLst xmlns:a="http://schemas.openxmlformats.org/drawingml/2006/main">
                <a:ext uri="{FF2B5EF4-FFF2-40B4-BE49-F238E27FC236}">
                  <a16:creationId xmlns:a16="http://schemas.microsoft.com/office/drawing/2014/main" id="{465E7281-840F-43B9-BBB7-A35D2B3545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21-macaron-devdurable_0">
                      <a:extLst>
                        <a:ext uri="{FF2B5EF4-FFF2-40B4-BE49-F238E27FC236}">
                          <a16:creationId xmlns:a16="http://schemas.microsoft.com/office/drawing/2014/main" id="{465E7281-840F-43B9-BBB7-A35D2B3545F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215" cy="1081405"/>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3102C4DF" w14:textId="10CE9B94"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B53F4" w:rsidRPr="00F85296" w14:paraId="609CD1B9" w14:textId="77777777" w:rsidTr="00F261BB">
        <w:trPr>
          <w:trHeight w:val="483"/>
        </w:trPr>
        <w:tc>
          <w:tcPr>
            <w:tcW w:w="5110" w:type="dxa"/>
          </w:tcPr>
          <w:p w14:paraId="52476824" w14:textId="5CD0B019" w:rsidR="00451392" w:rsidRPr="00B37451" w:rsidRDefault="00451392" w:rsidP="00451392">
            <w:pPr>
              <w:pStyle w:val="Texte-Adresseligne1"/>
              <w:framePr w:w="0" w:hRule="auto" w:wrap="auto" w:vAnchor="margin" w:hAnchor="text" w:xAlign="left" w:yAlign="inline"/>
              <w:rPr>
                <w:rFonts w:cs="Arial"/>
                <w:szCs w:val="16"/>
              </w:rPr>
            </w:pPr>
            <w:r>
              <w:rPr>
                <w:rFonts w:cs="Arial"/>
                <w:szCs w:val="16"/>
              </w:rPr>
              <w:t>VR/PEEP/</w:t>
            </w:r>
            <w:r w:rsidR="00114E50">
              <w:rPr>
                <w:rFonts w:cs="Arial"/>
                <w:szCs w:val="16"/>
              </w:rPr>
              <w:t>DA</w:t>
            </w:r>
            <w:r w:rsidR="006C7F9A">
              <w:rPr>
                <w:rFonts w:cs="Arial"/>
                <w:szCs w:val="16"/>
              </w:rPr>
              <w:t>CST-EDD</w:t>
            </w:r>
          </w:p>
          <w:p w14:paraId="117B246C" w14:textId="6C13EE70" w:rsidR="00451392" w:rsidRPr="00B37451" w:rsidRDefault="00451392" w:rsidP="00451392">
            <w:pPr>
              <w:pStyle w:val="Texte-Adresseligne1"/>
              <w:framePr w:w="0" w:hRule="auto" w:wrap="auto" w:vAnchor="margin" w:hAnchor="text" w:xAlign="left" w:yAlign="inline"/>
              <w:rPr>
                <w:rFonts w:cs="Arial"/>
                <w:szCs w:val="16"/>
              </w:rPr>
            </w:pPr>
            <w:r w:rsidRPr="00B37451">
              <w:rPr>
                <w:rFonts w:cs="Arial"/>
                <w:szCs w:val="16"/>
              </w:rPr>
              <w:t>Affaire suivie par :</w:t>
            </w:r>
          </w:p>
          <w:p w14:paraId="20025019" w14:textId="5DAC9CCB" w:rsidR="00563770" w:rsidRPr="00B8798F" w:rsidRDefault="00563770" w:rsidP="00563770">
            <w:pPr>
              <w:pStyle w:val="Texte-Adresseligne1"/>
              <w:framePr w:w="0" w:hRule="auto" w:wrap="auto" w:vAnchor="margin" w:hAnchor="text" w:xAlign="left" w:yAlign="inline"/>
              <w:rPr>
                <w:rFonts w:ascii="Calibri" w:hAnsi="Calibri" w:cs="Calibri"/>
                <w:sz w:val="20"/>
              </w:rPr>
            </w:pPr>
            <w:r w:rsidRPr="00B8798F">
              <w:rPr>
                <w:rFonts w:ascii="Calibri" w:hAnsi="Calibri" w:cs="Calibri"/>
                <w:sz w:val="20"/>
              </w:rPr>
              <w:t xml:space="preserve">La </w:t>
            </w:r>
            <w:r w:rsidR="00A555F3">
              <w:rPr>
                <w:rFonts w:ascii="Calibri" w:hAnsi="Calibri" w:cs="Calibri"/>
                <w:sz w:val="20"/>
              </w:rPr>
              <w:t>déléguée académique à l’</w:t>
            </w:r>
            <w:r w:rsidRPr="00B8798F">
              <w:rPr>
                <w:rFonts w:ascii="Calibri" w:hAnsi="Calibri" w:cs="Calibri"/>
                <w:sz w:val="20"/>
              </w:rPr>
              <w:t>EDD</w:t>
            </w:r>
          </w:p>
          <w:p w14:paraId="13C79944" w14:textId="77777777" w:rsidR="00563770" w:rsidRDefault="00563770" w:rsidP="00563770">
            <w:pPr>
              <w:pStyle w:val="Texte-Adresseligne1"/>
              <w:framePr w:w="0" w:hRule="auto" w:wrap="auto" w:vAnchor="margin" w:hAnchor="text" w:xAlign="left" w:yAlign="inline"/>
              <w:rPr>
                <w:rFonts w:ascii="Calibri" w:hAnsi="Calibri" w:cs="Calibri"/>
                <w:sz w:val="20"/>
              </w:rPr>
            </w:pPr>
            <w:r w:rsidRPr="001B7AB5">
              <w:rPr>
                <w:rFonts w:ascii="Calibri" w:hAnsi="Calibri" w:cs="Calibri"/>
                <w:sz w:val="20"/>
              </w:rPr>
              <w:t>Myriam AUBRY-MALOUNGILA</w:t>
            </w:r>
          </w:p>
          <w:p w14:paraId="6B4F726F" w14:textId="77777777" w:rsidR="00563770" w:rsidRPr="001B7AB5" w:rsidRDefault="00FA40F8" w:rsidP="00563770">
            <w:pPr>
              <w:pStyle w:val="Texte-Adresseligne1"/>
              <w:framePr w:w="0" w:hRule="auto" w:wrap="auto" w:vAnchor="margin" w:hAnchor="text" w:xAlign="left" w:yAlign="inline"/>
              <w:rPr>
                <w:rFonts w:cs="Arial"/>
                <w:szCs w:val="16"/>
              </w:rPr>
            </w:pPr>
            <w:hyperlink r:id="rId13" w:history="1">
              <w:r w:rsidR="00563770">
                <w:rPr>
                  <w:rStyle w:val="Lienhypertexte"/>
                </w:rPr>
                <w:t>Myriam-Luce.Aubry-Maloungila@ac-noumea.nc</w:t>
              </w:r>
            </w:hyperlink>
          </w:p>
          <w:p w14:paraId="112D9318" w14:textId="308B107D" w:rsidR="00451392" w:rsidRPr="00B37451" w:rsidRDefault="00451392" w:rsidP="00451392">
            <w:pPr>
              <w:pStyle w:val="Texte-Adresseligne1"/>
              <w:framePr w:w="0" w:hRule="auto" w:wrap="auto" w:vAnchor="margin" w:hAnchor="text" w:xAlign="left" w:yAlign="inline"/>
              <w:rPr>
                <w:rFonts w:cs="Arial"/>
                <w:szCs w:val="16"/>
              </w:rPr>
            </w:pPr>
          </w:p>
          <w:p w14:paraId="1C70BB97" w14:textId="77777777" w:rsidR="00451392" w:rsidRPr="00B81A6B" w:rsidRDefault="00451392" w:rsidP="00451392">
            <w:pPr>
              <w:pStyle w:val="Texte-Adresseligne1"/>
              <w:framePr w:wrap="notBeside"/>
              <w:rPr>
                <w:rFonts w:cs="Arial"/>
                <w:szCs w:val="16"/>
              </w:rPr>
            </w:pPr>
            <w:r w:rsidRPr="00B81A6B">
              <w:rPr>
                <w:rFonts w:cs="Arial"/>
                <w:szCs w:val="16"/>
              </w:rPr>
              <w:t>1, avenue des Frères Carcopino</w:t>
            </w:r>
          </w:p>
          <w:p w14:paraId="2BD9485A" w14:textId="77777777" w:rsidR="00451392" w:rsidRPr="00521BCD" w:rsidRDefault="00451392" w:rsidP="00451392">
            <w:pPr>
              <w:pStyle w:val="Texte-Adresseligne1"/>
              <w:framePr w:wrap="notBeside"/>
              <w:rPr>
                <w:sz w:val="20"/>
              </w:rPr>
            </w:pPr>
            <w:r w:rsidRPr="00B81A6B">
              <w:rPr>
                <w:rFonts w:cs="Arial"/>
                <w:szCs w:val="16"/>
              </w:rPr>
              <w:t xml:space="preserve">BP G4 </w:t>
            </w:r>
            <w:r>
              <w:rPr>
                <w:rFonts w:cs="Arial"/>
                <w:szCs w:val="16"/>
              </w:rPr>
              <w:t xml:space="preserve">- </w:t>
            </w:r>
            <w:r w:rsidRPr="00B81A6B">
              <w:rPr>
                <w:rFonts w:cs="Arial"/>
                <w:szCs w:val="16"/>
              </w:rPr>
              <w:t>98848 Nouméa Cedex</w:t>
            </w:r>
            <w:r w:rsidRPr="00B81A6B">
              <w:rPr>
                <w:rFonts w:cs="Arial"/>
                <w:sz w:val="20"/>
                <w:szCs w:val="16"/>
              </w:rPr>
              <w:t xml:space="preserve"> </w:t>
            </w:r>
          </w:p>
          <w:p w14:paraId="49B97CE3" w14:textId="62079939" w:rsidR="00941377" w:rsidRDefault="00941377" w:rsidP="00B55B58">
            <w:pPr>
              <w:pStyle w:val="Corpsdetexte"/>
            </w:pPr>
          </w:p>
        </w:tc>
        <w:tc>
          <w:tcPr>
            <w:tcW w:w="5110" w:type="dxa"/>
          </w:tcPr>
          <w:p w14:paraId="6E70806D" w14:textId="5F5D057D" w:rsidR="00B81A6B" w:rsidRDefault="00B81A6B" w:rsidP="00B81A6B">
            <w:pPr>
              <w:pStyle w:val="Corpsdetexte"/>
              <w:jc w:val="right"/>
            </w:pPr>
            <w:r>
              <w:t xml:space="preserve"> </w:t>
            </w:r>
          </w:p>
          <w:p w14:paraId="6CFBD0B4" w14:textId="6CFB1E3D" w:rsidR="00B81A6B" w:rsidRDefault="00B81A6B" w:rsidP="006A4ADA">
            <w:pPr>
              <w:pStyle w:val="Corpsdetexte"/>
              <w:jc w:val="right"/>
            </w:pPr>
          </w:p>
          <w:p w14:paraId="73ECDB0F" w14:textId="568B635D" w:rsidR="00941377" w:rsidRDefault="00941377" w:rsidP="00A5209A">
            <w:pPr>
              <w:pStyle w:val="Corpsdetexte"/>
              <w:jc w:val="right"/>
            </w:pPr>
          </w:p>
        </w:tc>
      </w:tr>
    </w:tbl>
    <w:p w14:paraId="7B268909" w14:textId="68442E87" w:rsidR="00941377" w:rsidRDefault="00941377" w:rsidP="00B55B58">
      <w:pPr>
        <w:pStyle w:val="Corpsdetexte"/>
      </w:pPr>
    </w:p>
    <w:p w14:paraId="77A673E8" w14:textId="77777777" w:rsidR="003240AC" w:rsidRDefault="003240AC" w:rsidP="00B55B58">
      <w:pPr>
        <w:pStyle w:val="Corpsdetexte"/>
        <w:sectPr w:rsidR="003240AC" w:rsidSect="00930B38">
          <w:headerReference w:type="default" r:id="rId14"/>
          <w:footerReference w:type="even" r:id="rId15"/>
          <w:footerReference w:type="default" r:id="rId16"/>
          <w:type w:val="continuous"/>
          <w:pgSz w:w="11910" w:h="16840"/>
          <w:pgMar w:top="963" w:right="964" w:bottom="964" w:left="964" w:header="720" w:footer="720" w:gutter="0"/>
          <w:cols w:space="720"/>
        </w:sectPr>
      </w:pPr>
    </w:p>
    <w:p w14:paraId="47B9748E" w14:textId="455A013A" w:rsidR="00A5209A" w:rsidRDefault="00A5209A" w:rsidP="00B55B58">
      <w:pPr>
        <w:pStyle w:val="Objet"/>
        <w:rPr>
          <w:rStyle w:val="ObjetCar"/>
          <w:b/>
        </w:rPr>
      </w:pPr>
    </w:p>
    <w:p w14:paraId="296973F9" w14:textId="00166AC9" w:rsidR="000128C1" w:rsidRPr="000128C1" w:rsidRDefault="00807CCD" w:rsidP="000128C1">
      <w:pPr>
        <w:pStyle w:val="Objet"/>
        <w:rPr>
          <w:b w:val="0"/>
        </w:rPr>
      </w:pPr>
      <w:r w:rsidRPr="004936AF">
        <w:rPr>
          <w:rStyle w:val="ObjetCar"/>
          <w:b/>
        </w:rPr>
        <w:t xml:space="preserve">Objet </w:t>
      </w:r>
      <w:r w:rsidRPr="004936AF">
        <w:t xml:space="preserve">: </w:t>
      </w:r>
      <w:r w:rsidR="00BF30BE">
        <w:rPr>
          <w:bCs/>
        </w:rPr>
        <w:t>C</w:t>
      </w:r>
      <w:r w:rsidR="00BF30BE" w:rsidRPr="00BF30BE">
        <w:rPr>
          <w:bCs/>
        </w:rPr>
        <w:t>ritères de labellisation de l’établissement en démarche de développement durable (</w:t>
      </w:r>
      <w:r w:rsidR="00BF30BE">
        <w:rPr>
          <w:bCs/>
        </w:rPr>
        <w:t>E</w:t>
      </w:r>
      <w:r w:rsidR="00BF30BE" w:rsidRPr="00BF30BE">
        <w:rPr>
          <w:bCs/>
        </w:rPr>
        <w:t>3</w:t>
      </w:r>
      <w:r w:rsidR="00BF30BE">
        <w:rPr>
          <w:bCs/>
        </w:rPr>
        <w:t>D</w:t>
      </w:r>
      <w:r w:rsidR="00BF30BE" w:rsidRPr="00BF30BE">
        <w:rPr>
          <w:bCs/>
        </w:rPr>
        <w:t>)</w:t>
      </w:r>
    </w:p>
    <w:p w14:paraId="4D92D8DE" w14:textId="77777777" w:rsidR="000128C1" w:rsidRPr="000128C1" w:rsidRDefault="000128C1" w:rsidP="000128C1">
      <w:pPr>
        <w:pStyle w:val="Objet"/>
        <w:rPr>
          <w:b w:val="0"/>
        </w:rPr>
      </w:pPr>
    </w:p>
    <w:p w14:paraId="50624530" w14:textId="2C395535" w:rsidR="000128C1" w:rsidRPr="000128C1" w:rsidRDefault="000128C1" w:rsidP="000128C1">
      <w:pPr>
        <w:pStyle w:val="Objet"/>
        <w:rPr>
          <w:b w:val="0"/>
        </w:rPr>
      </w:pPr>
      <w:r w:rsidRPr="000128C1">
        <w:rPr>
          <w:b w:val="0"/>
        </w:rPr>
        <w:t>L</w:t>
      </w:r>
      <w:r w:rsidR="00C70C63">
        <w:rPr>
          <w:b w:val="0"/>
        </w:rPr>
        <w:t xml:space="preserve">es critères de </w:t>
      </w:r>
      <w:r w:rsidRPr="000128C1">
        <w:rPr>
          <w:b w:val="0"/>
        </w:rPr>
        <w:t xml:space="preserve">labellisation « E3D » de l’académie de Nouvelle-Calédonie </w:t>
      </w:r>
      <w:r w:rsidR="00C70C63">
        <w:rPr>
          <w:b w:val="0"/>
        </w:rPr>
        <w:t xml:space="preserve">ont été actualisé </w:t>
      </w:r>
      <w:r w:rsidRPr="000128C1">
        <w:rPr>
          <w:b w:val="0"/>
        </w:rPr>
        <w:t>conform</w:t>
      </w:r>
      <w:r w:rsidR="00C70C63">
        <w:rPr>
          <w:b w:val="0"/>
        </w:rPr>
        <w:t>ément au</w:t>
      </w:r>
      <w:r w:rsidRPr="000128C1">
        <w:rPr>
          <w:b w:val="0"/>
        </w:rPr>
        <w:t xml:space="preserve"> référentiel national de labellisation </w:t>
      </w:r>
      <w:r w:rsidR="005C0ED4">
        <w:rPr>
          <w:b w:val="0"/>
        </w:rPr>
        <w:t xml:space="preserve">- </w:t>
      </w:r>
      <w:r w:rsidRPr="000128C1">
        <w:rPr>
          <w:b w:val="0"/>
        </w:rPr>
        <w:t>circulaire parue au BOEN n°</w:t>
      </w:r>
      <w:r w:rsidR="00C70C63">
        <w:rPr>
          <w:b w:val="0"/>
        </w:rPr>
        <w:t>3</w:t>
      </w:r>
      <w:r w:rsidRPr="000128C1">
        <w:rPr>
          <w:b w:val="0"/>
        </w:rPr>
        <w:t xml:space="preserve">6 du </w:t>
      </w:r>
      <w:r w:rsidR="00C70C63">
        <w:rPr>
          <w:b w:val="0"/>
        </w:rPr>
        <w:t xml:space="preserve">24 septembre </w:t>
      </w:r>
      <w:r w:rsidRPr="000128C1">
        <w:rPr>
          <w:b w:val="0"/>
        </w:rPr>
        <w:t>20</w:t>
      </w:r>
      <w:r w:rsidR="00C70C63">
        <w:rPr>
          <w:b w:val="0"/>
        </w:rPr>
        <w:t xml:space="preserve">20 </w:t>
      </w:r>
      <w:r w:rsidRPr="000128C1">
        <w:rPr>
          <w:b w:val="0"/>
        </w:rPr>
        <w:t>:</w:t>
      </w:r>
      <w:r w:rsidR="00C354D4">
        <w:rPr>
          <w:b w:val="0"/>
        </w:rPr>
        <w:t xml:space="preserve"> </w:t>
      </w:r>
      <w:hyperlink r:id="rId17" w:history="1">
        <w:r w:rsidR="00C354D4" w:rsidRPr="004850CE">
          <w:rPr>
            <w:rStyle w:val="Lienhypertexte"/>
            <w:b w:val="0"/>
          </w:rPr>
          <w:t>https://www.education.gouv.fr/bo/20/Hebdo36/MENE2025449C.htm</w:t>
        </w:r>
      </w:hyperlink>
      <w:r w:rsidR="00C354D4">
        <w:rPr>
          <w:b w:val="0"/>
        </w:rPr>
        <w:t xml:space="preserve"> </w:t>
      </w:r>
    </w:p>
    <w:p w14:paraId="1CF79B29" w14:textId="77777777" w:rsidR="005C0ED4" w:rsidRDefault="005C0ED4" w:rsidP="000128C1">
      <w:pPr>
        <w:pStyle w:val="Objet"/>
        <w:rPr>
          <w:b w:val="0"/>
        </w:rPr>
      </w:pPr>
    </w:p>
    <w:p w14:paraId="3307F4DE" w14:textId="1FCD2B01" w:rsidR="000128C1" w:rsidRPr="000128C1" w:rsidRDefault="000128C1" w:rsidP="000128C1">
      <w:pPr>
        <w:pStyle w:val="Objet"/>
        <w:rPr>
          <w:bCs/>
        </w:rPr>
      </w:pPr>
      <w:r w:rsidRPr="000128C1">
        <w:rPr>
          <w:bCs/>
        </w:rPr>
        <w:t xml:space="preserve">I – La démarche de labellisation  </w:t>
      </w:r>
    </w:p>
    <w:p w14:paraId="5349A650" w14:textId="77777777" w:rsidR="000128C1" w:rsidRPr="000128C1" w:rsidRDefault="000128C1" w:rsidP="000128C1">
      <w:pPr>
        <w:pStyle w:val="Objet"/>
        <w:rPr>
          <w:b w:val="0"/>
        </w:rPr>
      </w:pPr>
      <w:r w:rsidRPr="000128C1">
        <w:rPr>
          <w:b w:val="0"/>
        </w:rPr>
        <w:t xml:space="preserve">Trois niveaux sont distingués dans le processus de labellisation.  </w:t>
      </w:r>
    </w:p>
    <w:p w14:paraId="4EEEF3A3" w14:textId="77777777" w:rsidR="00C70C63" w:rsidRPr="00C70C63" w:rsidRDefault="00C70C63" w:rsidP="00C70C63">
      <w:pPr>
        <w:widowControl/>
        <w:autoSpaceDE/>
        <w:autoSpaceDN/>
        <w:spacing w:before="120" w:after="240"/>
        <w:jc w:val="both"/>
        <w:rPr>
          <w:rFonts w:eastAsia="Calibri"/>
          <w:b/>
          <w:sz w:val="20"/>
          <w:szCs w:val="20"/>
          <w:lang w:val="fr-FR"/>
        </w:rPr>
      </w:pPr>
      <w:r w:rsidRPr="00C70C63">
        <w:rPr>
          <w:rFonts w:eastAsia="Calibri"/>
          <w:b/>
          <w:sz w:val="20"/>
          <w:szCs w:val="20"/>
          <w:lang w:val="fr-FR"/>
        </w:rPr>
        <w:t>Niveau 1 : engagement</w:t>
      </w:r>
    </w:p>
    <w:p w14:paraId="40058690" w14:textId="77777777" w:rsidR="00C70C63" w:rsidRPr="00C70C63" w:rsidRDefault="00C70C63" w:rsidP="00C70C63">
      <w:pPr>
        <w:widowControl/>
        <w:autoSpaceDE/>
        <w:autoSpaceDN/>
        <w:spacing w:before="120" w:after="240"/>
        <w:jc w:val="both"/>
        <w:rPr>
          <w:rFonts w:eastAsia="Calibri"/>
          <w:sz w:val="20"/>
          <w:szCs w:val="20"/>
          <w:lang w:val="fr-FR"/>
        </w:rPr>
      </w:pPr>
      <w:r w:rsidRPr="00C70C63">
        <w:rPr>
          <w:rFonts w:eastAsia="Calibri"/>
          <w:sz w:val="20"/>
          <w:szCs w:val="20"/>
          <w:lang w:val="fr-FR"/>
        </w:rPr>
        <w:t xml:space="preserve">Le premier niveau de labélisation reconnait la volonté de l’équipe de s’engager dans la démarche et constitue une première étape vers une démarche globale. Il permet d’identifier des axes d’évolution, inscrits dans une démarche d’acculturation de toute la structure. </w:t>
      </w:r>
    </w:p>
    <w:p w14:paraId="2F080DB1" w14:textId="285A0A02" w:rsidR="00C70C63" w:rsidRPr="00C70C63" w:rsidRDefault="00C70C63" w:rsidP="00C70C63">
      <w:pPr>
        <w:widowControl/>
        <w:autoSpaceDE/>
        <w:autoSpaceDN/>
        <w:spacing w:before="120" w:after="240"/>
        <w:jc w:val="both"/>
        <w:rPr>
          <w:rFonts w:eastAsia="Calibri"/>
          <w:sz w:val="20"/>
          <w:szCs w:val="20"/>
          <w:lang w:val="fr-FR"/>
        </w:rPr>
      </w:pPr>
      <w:r w:rsidRPr="00C70C63">
        <w:rPr>
          <w:rFonts w:eastAsia="Calibri"/>
          <w:sz w:val="20"/>
          <w:szCs w:val="20"/>
          <w:lang w:val="fr-FR"/>
        </w:rPr>
        <w:t xml:space="preserve">Les critères de </w:t>
      </w:r>
      <w:r w:rsidR="00C354D4" w:rsidRPr="00C70C63">
        <w:rPr>
          <w:rFonts w:eastAsia="Calibri"/>
          <w:sz w:val="20"/>
          <w:szCs w:val="20"/>
          <w:lang w:val="fr-FR"/>
        </w:rPr>
        <w:t>label</w:t>
      </w:r>
      <w:r w:rsidR="00C354D4">
        <w:rPr>
          <w:rFonts w:eastAsia="Calibri"/>
          <w:sz w:val="20"/>
          <w:szCs w:val="20"/>
          <w:lang w:val="fr-FR"/>
        </w:rPr>
        <w:t>l</w:t>
      </w:r>
      <w:r w:rsidR="00C354D4" w:rsidRPr="00C70C63">
        <w:rPr>
          <w:rFonts w:eastAsia="Calibri"/>
          <w:sz w:val="20"/>
          <w:szCs w:val="20"/>
          <w:lang w:val="fr-FR"/>
        </w:rPr>
        <w:t>isation</w:t>
      </w:r>
      <w:r w:rsidRPr="00C70C63">
        <w:rPr>
          <w:rFonts w:eastAsia="Calibri"/>
          <w:sz w:val="20"/>
          <w:szCs w:val="20"/>
          <w:lang w:val="fr-FR"/>
        </w:rPr>
        <w:t xml:space="preserve"> retenus sont les suivants : </w:t>
      </w:r>
    </w:p>
    <w:p w14:paraId="63020ECC" w14:textId="77777777" w:rsidR="00C70C63" w:rsidRPr="00C70C63" w:rsidRDefault="00C70C63" w:rsidP="00C70C63">
      <w:pPr>
        <w:widowControl/>
        <w:numPr>
          <w:ilvl w:val="0"/>
          <w:numId w:val="7"/>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La mise en œuvre d’une démarche E3D, comportant plusieurs projets, est inscrite dans le projet d’établissement adopté par le conseil d’école ou d’établissement.</w:t>
      </w:r>
    </w:p>
    <w:p w14:paraId="60FE9D98" w14:textId="77777777" w:rsidR="00C70C63" w:rsidRPr="00C70C63" w:rsidRDefault="00C70C63" w:rsidP="00C70C63">
      <w:pPr>
        <w:widowControl/>
        <w:numPr>
          <w:ilvl w:val="0"/>
          <w:numId w:val="7"/>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La démarche comprend au moins un projet éducatif (des actions menées en démarche de projet et possédant un intérêt éducatif).</w:t>
      </w:r>
    </w:p>
    <w:p w14:paraId="22F0C93B" w14:textId="77777777" w:rsidR="00C70C63" w:rsidRPr="00C70C63" w:rsidRDefault="00C70C63" w:rsidP="00C70C63">
      <w:pPr>
        <w:widowControl/>
        <w:numPr>
          <w:ilvl w:val="0"/>
          <w:numId w:val="7"/>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Le(s) projet(s) concernent au moins un ODD identifié.</w:t>
      </w:r>
    </w:p>
    <w:p w14:paraId="0A649D53" w14:textId="77777777" w:rsidR="00C70C63" w:rsidRPr="00C70C63" w:rsidRDefault="00C70C63" w:rsidP="00C70C63">
      <w:pPr>
        <w:widowControl/>
        <w:numPr>
          <w:ilvl w:val="0"/>
          <w:numId w:val="7"/>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Le(s) contenus du (des) projet(s) correspondent ou s’articulent avec des contenus disciplinaires.</w:t>
      </w:r>
    </w:p>
    <w:p w14:paraId="50F4382B" w14:textId="77777777" w:rsidR="00C70C63" w:rsidRPr="00C70C63" w:rsidRDefault="00C70C63" w:rsidP="00C70C63">
      <w:pPr>
        <w:widowControl/>
        <w:numPr>
          <w:ilvl w:val="0"/>
          <w:numId w:val="7"/>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Au moins un partenaire extérieur à l’établissement est associé à ce projet.</w:t>
      </w:r>
    </w:p>
    <w:p w14:paraId="441B9A3E" w14:textId="77777777" w:rsidR="00C70C63" w:rsidRPr="00C70C63" w:rsidRDefault="00C70C63" w:rsidP="00C70C63">
      <w:pPr>
        <w:widowControl/>
        <w:numPr>
          <w:ilvl w:val="0"/>
          <w:numId w:val="7"/>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 xml:space="preserve">Les élèves participent à des actions concrètes, produisent des supports de restitution du projet ou des ressources pour l’établissement. </w:t>
      </w:r>
    </w:p>
    <w:p w14:paraId="71F92772" w14:textId="1E884284" w:rsidR="00C70C63" w:rsidRDefault="00C70C63" w:rsidP="00C70C63">
      <w:pPr>
        <w:widowControl/>
        <w:autoSpaceDE/>
        <w:autoSpaceDN/>
        <w:spacing w:before="120" w:after="240"/>
        <w:jc w:val="both"/>
        <w:rPr>
          <w:rFonts w:eastAsia="Times New Roman"/>
          <w:sz w:val="20"/>
          <w:szCs w:val="20"/>
          <w:lang w:val="fr-FR" w:eastAsia="fr-FR"/>
        </w:rPr>
      </w:pPr>
      <w:r w:rsidRPr="00C70C63">
        <w:rPr>
          <w:rFonts w:eastAsia="Times New Roman"/>
          <w:sz w:val="20"/>
          <w:szCs w:val="20"/>
          <w:lang w:val="fr-FR" w:eastAsia="fr-FR"/>
        </w:rPr>
        <w:t>Les diverses formes de projets ou d'activités mises en place dans l'école ou l'établissement (clubs, classes de découverte, sorties scolaires, actions éducatives, etc.) peuvent être fédérées dans la démarche E3D et servir de point d'appui pour la lancer.</w:t>
      </w:r>
    </w:p>
    <w:p w14:paraId="2985F976" w14:textId="770B60C8" w:rsidR="00C70C63" w:rsidRDefault="00C70C63" w:rsidP="00C70C63">
      <w:pPr>
        <w:widowControl/>
        <w:autoSpaceDE/>
        <w:autoSpaceDN/>
        <w:spacing w:before="120" w:after="240"/>
        <w:jc w:val="both"/>
        <w:rPr>
          <w:rFonts w:eastAsia="Calibri"/>
          <w:sz w:val="20"/>
          <w:szCs w:val="20"/>
          <w:lang w:val="fr-FR"/>
        </w:rPr>
      </w:pPr>
    </w:p>
    <w:p w14:paraId="0A8CC89B" w14:textId="77777777" w:rsidR="00BF30BE" w:rsidRDefault="00BF30BE" w:rsidP="00C70C63">
      <w:pPr>
        <w:widowControl/>
        <w:autoSpaceDE/>
        <w:autoSpaceDN/>
        <w:spacing w:before="120" w:after="240"/>
        <w:jc w:val="both"/>
        <w:rPr>
          <w:rFonts w:eastAsia="Calibri"/>
          <w:sz w:val="20"/>
          <w:szCs w:val="20"/>
          <w:lang w:val="fr-FR"/>
        </w:rPr>
      </w:pPr>
    </w:p>
    <w:p w14:paraId="6DBB9A9B" w14:textId="77777777" w:rsidR="005C0ED4" w:rsidRDefault="005C0ED4" w:rsidP="00C70C63">
      <w:pPr>
        <w:widowControl/>
        <w:autoSpaceDE/>
        <w:autoSpaceDN/>
        <w:spacing w:before="120" w:after="240"/>
        <w:jc w:val="both"/>
        <w:rPr>
          <w:rFonts w:eastAsia="Calibri"/>
          <w:sz w:val="20"/>
          <w:szCs w:val="20"/>
          <w:lang w:val="fr-FR"/>
        </w:rPr>
      </w:pPr>
    </w:p>
    <w:p w14:paraId="3A88B2C9" w14:textId="77777777" w:rsidR="00C70C63" w:rsidRDefault="00C70C63" w:rsidP="00C70C63">
      <w:pPr>
        <w:widowControl/>
        <w:autoSpaceDE/>
        <w:autoSpaceDN/>
        <w:spacing w:before="120" w:after="240"/>
        <w:jc w:val="both"/>
        <w:rPr>
          <w:rFonts w:eastAsia="Calibri"/>
          <w:sz w:val="20"/>
          <w:szCs w:val="20"/>
          <w:lang w:val="fr-FR"/>
        </w:rPr>
      </w:pPr>
    </w:p>
    <w:p w14:paraId="7E6B21F8" w14:textId="7A47A4B0" w:rsidR="00C70C63" w:rsidRPr="00C70C63" w:rsidRDefault="00C70C63" w:rsidP="009C3B4E">
      <w:pPr>
        <w:widowControl/>
        <w:autoSpaceDE/>
        <w:autoSpaceDN/>
        <w:spacing w:before="120" w:after="120"/>
        <w:jc w:val="both"/>
        <w:rPr>
          <w:rFonts w:eastAsia="Calibri"/>
          <w:b/>
          <w:sz w:val="20"/>
          <w:szCs w:val="20"/>
          <w:lang w:val="fr-FR"/>
        </w:rPr>
      </w:pPr>
      <w:r w:rsidRPr="00C70C63">
        <w:rPr>
          <w:rFonts w:eastAsia="Calibri"/>
          <w:b/>
          <w:sz w:val="20"/>
          <w:szCs w:val="20"/>
          <w:lang w:val="fr-FR"/>
        </w:rPr>
        <w:lastRenderedPageBreak/>
        <w:t>Niveau 2 : approfondissement</w:t>
      </w:r>
    </w:p>
    <w:p w14:paraId="0A43DC4B" w14:textId="77777777" w:rsid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 xml:space="preserve">Le deuxième niveau de labélisation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 </w:t>
      </w:r>
    </w:p>
    <w:p w14:paraId="64278176" w14:textId="080A3299" w:rsidR="00C70C63" w:rsidRP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 xml:space="preserve">Cette étape priorise l’engagement des élèves et la formation des adultes qui les accompagnent, de sorte que les projets portent la structure vers une gestion plus durable. 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 </w:t>
      </w:r>
    </w:p>
    <w:p w14:paraId="5A9E7F7B" w14:textId="456BFC22" w:rsidR="00C70C63" w:rsidRP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On y trouve des éco</w:t>
      </w:r>
      <w:r>
        <w:rPr>
          <w:rFonts w:eastAsia="Calibri"/>
          <w:sz w:val="20"/>
          <w:szCs w:val="20"/>
          <w:lang w:val="fr-FR"/>
        </w:rPr>
        <w:t>-</w:t>
      </w:r>
      <w:r w:rsidRPr="00C70C63">
        <w:rPr>
          <w:rFonts w:eastAsia="Calibri"/>
          <w:sz w:val="20"/>
          <w:szCs w:val="20"/>
          <w:lang w:val="fr-FR"/>
        </w:rPr>
        <w:t xml:space="preserve">délégués engagés et investis dans les projets de développement durable et soucieux de représenter et d’informer leurs camarades. </w:t>
      </w:r>
    </w:p>
    <w:p w14:paraId="0D8D75F1" w14:textId="77777777" w:rsidR="00C70C63" w:rsidRP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 xml:space="preserve">Les critères de labélisation retenus sont les suivants : </w:t>
      </w:r>
    </w:p>
    <w:p w14:paraId="06F25361" w14:textId="77777777"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Un comité de l’éducation au développement durable est créé, qui définit, actualise et coordonne un plan d’action de l’école ou de l’établissement, évalué chaque année.</w:t>
      </w:r>
    </w:p>
    <w:p w14:paraId="197565E4" w14:textId="77777777"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Plusieurs catégories de personnels sont impliquées dans la démarche (personnels de gestion, entretien, enseignement, vie scolaire), élaborée par des groupes de travail thématiques avec chacun un ou plusieurs animateurs.</w:t>
      </w:r>
    </w:p>
    <w:p w14:paraId="47D29167" w14:textId="0C181F8D"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Le plus grand nombre des élèves est investi dans le plan d’action. Les éco</w:t>
      </w:r>
      <w:r w:rsidR="00BF30BE">
        <w:rPr>
          <w:rFonts w:eastAsia="Calibri"/>
          <w:sz w:val="20"/>
          <w:szCs w:val="20"/>
          <w:lang w:val="fr-FR"/>
        </w:rPr>
        <w:t>-</w:t>
      </w:r>
      <w:r w:rsidRPr="00C70C63">
        <w:rPr>
          <w:rFonts w:eastAsia="Calibri"/>
          <w:sz w:val="20"/>
          <w:szCs w:val="20"/>
          <w:lang w:val="fr-FR"/>
        </w:rPr>
        <w:t>délégués de classe et d’établissement sont identifiés et acteurs dans les instances. Les parents d’élèves peuvent être sollicités.</w:t>
      </w:r>
    </w:p>
    <w:p w14:paraId="7420F162" w14:textId="77777777"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 xml:space="preserve">La démarche s’appuie sur un projet de formation pluriannuel des personnels engagés, tant sur le plan technique que sur le plan éducatif ou disciplinaire. </w:t>
      </w:r>
    </w:p>
    <w:p w14:paraId="2ED93C0E" w14:textId="77777777"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Plusieurs projets éducatifs sont concernés et évoquent plusieurs ODD</w:t>
      </w:r>
    </w:p>
    <w:p w14:paraId="5EE1BDE0" w14:textId="77777777"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 xml:space="preserve">Le partenariat est diversifié et consolidé.  </w:t>
      </w:r>
    </w:p>
    <w:p w14:paraId="153E1D95" w14:textId="77777777" w:rsidR="00C70C63" w:rsidRP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Les actions menées sont valorisées et publiées par des canaux de communication interne et externe à l’établissement.</w:t>
      </w:r>
    </w:p>
    <w:p w14:paraId="0B01A37D" w14:textId="78499286" w:rsidR="00C70C63" w:rsidRDefault="00C70C63" w:rsidP="009C3B4E">
      <w:pPr>
        <w:widowControl/>
        <w:numPr>
          <w:ilvl w:val="0"/>
          <w:numId w:val="8"/>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Un bilan annuel est réalisé par le comité de pilotage EDD en associant concrètement les éco</w:t>
      </w:r>
      <w:r w:rsidR="00BF30BE">
        <w:rPr>
          <w:rFonts w:eastAsia="Calibri"/>
          <w:sz w:val="20"/>
          <w:szCs w:val="20"/>
          <w:lang w:val="fr-FR"/>
        </w:rPr>
        <w:t>-</w:t>
      </w:r>
      <w:r w:rsidRPr="00C70C63">
        <w:rPr>
          <w:rFonts w:eastAsia="Calibri"/>
          <w:sz w:val="20"/>
          <w:szCs w:val="20"/>
          <w:lang w:val="fr-FR"/>
        </w:rPr>
        <w:t>délégués et leur référent.</w:t>
      </w:r>
    </w:p>
    <w:p w14:paraId="5BD812C3" w14:textId="77777777" w:rsidR="00C70C63" w:rsidRPr="00C70C63" w:rsidRDefault="00C70C63" w:rsidP="009C3B4E">
      <w:pPr>
        <w:widowControl/>
        <w:autoSpaceDE/>
        <w:autoSpaceDN/>
        <w:spacing w:before="120" w:after="120" w:line="259" w:lineRule="auto"/>
        <w:ind w:left="720"/>
        <w:contextualSpacing/>
        <w:jc w:val="both"/>
        <w:rPr>
          <w:rFonts w:eastAsia="Calibri"/>
          <w:sz w:val="20"/>
          <w:szCs w:val="20"/>
          <w:lang w:val="fr-FR"/>
        </w:rPr>
      </w:pPr>
    </w:p>
    <w:p w14:paraId="58E9BB64" w14:textId="77777777" w:rsidR="00C70C63" w:rsidRPr="00C70C63" w:rsidRDefault="00C70C63" w:rsidP="009C3B4E">
      <w:pPr>
        <w:widowControl/>
        <w:autoSpaceDE/>
        <w:autoSpaceDN/>
        <w:spacing w:before="120" w:after="120"/>
        <w:jc w:val="both"/>
        <w:rPr>
          <w:rFonts w:eastAsia="Calibri"/>
          <w:b/>
          <w:sz w:val="20"/>
          <w:szCs w:val="20"/>
          <w:lang w:val="fr-FR"/>
        </w:rPr>
      </w:pPr>
      <w:r w:rsidRPr="00C70C63">
        <w:rPr>
          <w:rFonts w:eastAsia="Calibri"/>
          <w:b/>
          <w:sz w:val="20"/>
          <w:szCs w:val="20"/>
          <w:lang w:val="fr-FR"/>
        </w:rPr>
        <w:t>Niveau 3 : expertise</w:t>
      </w:r>
    </w:p>
    <w:p w14:paraId="19C6C206" w14:textId="398706AE" w:rsidR="00C70C63" w:rsidRP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Dans le troisième niveau de labélisation, la démarche E3D fait partie intégrante du pilotage de l’établissement. Le comité de l’éducation au développement durable organise les plans d’action avec les élèves éco</w:t>
      </w:r>
      <w:r w:rsidR="00BF30BE">
        <w:rPr>
          <w:rFonts w:eastAsia="Calibri"/>
          <w:sz w:val="20"/>
          <w:szCs w:val="20"/>
          <w:lang w:val="fr-FR"/>
        </w:rPr>
        <w:t>-</w:t>
      </w:r>
      <w:r w:rsidRPr="00C70C63">
        <w:rPr>
          <w:rFonts w:eastAsia="Calibri"/>
          <w:sz w:val="20"/>
          <w:szCs w:val="20"/>
          <w:lang w:val="fr-FR"/>
        </w:rPr>
        <w:t xml:space="preserve">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 </w:t>
      </w:r>
    </w:p>
    <w:p w14:paraId="790E19B9" w14:textId="77777777" w:rsidR="00C70C63" w:rsidRP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 xml:space="preserve">Le niveau trois est atteint lorsque les projets menés sont transférables vers d’autres équipes et lorsque les équipes identifient et évaluent les compétences que les élèves développent dans ces projets. Ce sont des établissements qui savent communiquer sur ce qu’ils font et rayonnent sur leur territoire scolaire. </w:t>
      </w:r>
    </w:p>
    <w:p w14:paraId="2CFDBB3B" w14:textId="77777777" w:rsidR="00C70C63" w:rsidRPr="00C70C63" w:rsidRDefault="00C70C63" w:rsidP="009C3B4E">
      <w:pPr>
        <w:widowControl/>
        <w:autoSpaceDE/>
        <w:autoSpaceDN/>
        <w:spacing w:before="120" w:after="120"/>
        <w:jc w:val="both"/>
        <w:rPr>
          <w:rFonts w:eastAsia="Calibri"/>
          <w:sz w:val="20"/>
          <w:szCs w:val="20"/>
          <w:lang w:val="fr-FR"/>
        </w:rPr>
      </w:pPr>
      <w:r w:rsidRPr="00C70C63">
        <w:rPr>
          <w:rFonts w:eastAsia="Calibri"/>
          <w:sz w:val="20"/>
          <w:szCs w:val="20"/>
          <w:lang w:val="fr-FR"/>
        </w:rPr>
        <w:t xml:space="preserve">Les critères de labélisation retenus sont les suivants : </w:t>
      </w:r>
    </w:p>
    <w:p w14:paraId="1D048500" w14:textId="77777777" w:rsidR="00C70C63" w:rsidRPr="00C70C63" w:rsidRDefault="00C70C63" w:rsidP="009C3B4E">
      <w:pPr>
        <w:widowControl/>
        <w:numPr>
          <w:ilvl w:val="0"/>
          <w:numId w:val="9"/>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Le fonctionnement de l’établissement est modifié et l’amélioration de ses performances lui permet d’afficher sa contribution à un développement durable.</w:t>
      </w:r>
    </w:p>
    <w:p w14:paraId="516F1E2D" w14:textId="77777777" w:rsidR="00C70C63" w:rsidRPr="00C70C63" w:rsidRDefault="00C70C63" w:rsidP="009C3B4E">
      <w:pPr>
        <w:widowControl/>
        <w:numPr>
          <w:ilvl w:val="0"/>
          <w:numId w:val="9"/>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Un projet de déploiement pluriannuel est mis en place pour couvrir le plus grand nombre des ODD dans le cadre de l’agenda 2030.</w:t>
      </w:r>
    </w:p>
    <w:p w14:paraId="2EE581A2" w14:textId="2B262938" w:rsidR="00C70C63" w:rsidRPr="00C70C63" w:rsidRDefault="00C70C63" w:rsidP="009C3B4E">
      <w:pPr>
        <w:widowControl/>
        <w:numPr>
          <w:ilvl w:val="0"/>
          <w:numId w:val="9"/>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Les élèves et particulièrement les éco</w:t>
      </w:r>
      <w:r>
        <w:rPr>
          <w:rFonts w:eastAsia="Calibri"/>
          <w:sz w:val="20"/>
          <w:szCs w:val="20"/>
          <w:lang w:val="fr-FR"/>
        </w:rPr>
        <w:t>-</w:t>
      </w:r>
      <w:r w:rsidRPr="00C70C63">
        <w:rPr>
          <w:rFonts w:eastAsia="Calibri"/>
          <w:sz w:val="20"/>
          <w:szCs w:val="20"/>
          <w:lang w:val="fr-FR"/>
        </w:rPr>
        <w:t>délégués, sont engagés avec tous les personnels dans des actions remarquables et transférables vers d’autres acteurs.</w:t>
      </w:r>
    </w:p>
    <w:p w14:paraId="35AB0329" w14:textId="77777777" w:rsidR="00C70C63" w:rsidRPr="00C70C63" w:rsidRDefault="00C70C63" w:rsidP="009C3B4E">
      <w:pPr>
        <w:widowControl/>
        <w:numPr>
          <w:ilvl w:val="0"/>
          <w:numId w:val="9"/>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 xml:space="preserve">Tous les élèves de l’établissement sont impliqués dans l’EDD au cours de leur scolarité dans l’établissement. </w:t>
      </w:r>
    </w:p>
    <w:p w14:paraId="20DE623D" w14:textId="77777777" w:rsidR="009C3B4E" w:rsidRDefault="00C70C63" w:rsidP="009C3B4E">
      <w:pPr>
        <w:widowControl/>
        <w:numPr>
          <w:ilvl w:val="0"/>
          <w:numId w:val="9"/>
        </w:numPr>
        <w:autoSpaceDE/>
        <w:autoSpaceDN/>
        <w:spacing w:before="120" w:after="120" w:line="259" w:lineRule="auto"/>
        <w:contextualSpacing/>
        <w:jc w:val="both"/>
        <w:rPr>
          <w:rFonts w:eastAsia="Calibri"/>
          <w:sz w:val="20"/>
          <w:szCs w:val="20"/>
          <w:lang w:val="fr-FR"/>
        </w:rPr>
      </w:pPr>
      <w:r w:rsidRPr="00C70C63">
        <w:rPr>
          <w:rFonts w:eastAsia="Calibri"/>
          <w:sz w:val="20"/>
          <w:szCs w:val="20"/>
          <w:lang w:val="fr-FR"/>
        </w:rPr>
        <w:t xml:space="preserve">La démarche s’appuie sur l’évaluation des compétences des élèves engagés dans des projets EDD pour valoriser leurs initiatives et identifier leurs compétences citoyennes. </w:t>
      </w:r>
    </w:p>
    <w:p w14:paraId="64849BDD" w14:textId="5E82B2A5" w:rsidR="00C70C63" w:rsidRDefault="00C70C63" w:rsidP="009C3B4E">
      <w:pPr>
        <w:widowControl/>
        <w:numPr>
          <w:ilvl w:val="0"/>
          <w:numId w:val="9"/>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 xml:space="preserve">Une stratégie de pérennisation de la démarche est mise en place afin d’assurer la pérennité et la continuité des projets. </w:t>
      </w:r>
    </w:p>
    <w:p w14:paraId="570C4E6A" w14:textId="0E29169F" w:rsidR="009C3B4E" w:rsidRDefault="009C3B4E" w:rsidP="009C3B4E">
      <w:pPr>
        <w:widowControl/>
        <w:autoSpaceDE/>
        <w:autoSpaceDN/>
        <w:spacing w:before="120" w:after="240" w:line="259" w:lineRule="auto"/>
        <w:ind w:left="720"/>
        <w:contextualSpacing/>
        <w:jc w:val="both"/>
        <w:rPr>
          <w:rFonts w:eastAsia="Calibri"/>
          <w:sz w:val="20"/>
          <w:szCs w:val="20"/>
          <w:lang w:val="fr-FR"/>
        </w:rPr>
      </w:pPr>
    </w:p>
    <w:p w14:paraId="621DC660" w14:textId="77777777" w:rsidR="005C0ED4" w:rsidRDefault="005C0ED4" w:rsidP="00C70C63">
      <w:pPr>
        <w:widowControl/>
        <w:autoSpaceDE/>
        <w:autoSpaceDN/>
        <w:spacing w:before="120" w:after="240"/>
        <w:jc w:val="both"/>
        <w:rPr>
          <w:rFonts w:eastAsia="Calibri"/>
          <w:b/>
          <w:sz w:val="20"/>
          <w:szCs w:val="20"/>
          <w:lang w:val="fr-FR"/>
        </w:rPr>
      </w:pPr>
    </w:p>
    <w:p w14:paraId="4782CCE1" w14:textId="58D8B864" w:rsidR="00C70C63" w:rsidRPr="00C70C63" w:rsidRDefault="00C70C63" w:rsidP="00C70C63">
      <w:pPr>
        <w:widowControl/>
        <w:autoSpaceDE/>
        <w:autoSpaceDN/>
        <w:spacing w:before="120" w:after="240"/>
        <w:jc w:val="both"/>
        <w:rPr>
          <w:rFonts w:eastAsia="Calibri"/>
          <w:b/>
          <w:sz w:val="20"/>
          <w:szCs w:val="20"/>
          <w:lang w:val="fr-FR"/>
        </w:rPr>
      </w:pPr>
      <w:r w:rsidRPr="00C70C63">
        <w:rPr>
          <w:rFonts w:eastAsia="Calibri"/>
          <w:b/>
          <w:sz w:val="20"/>
          <w:szCs w:val="20"/>
          <w:lang w:val="fr-FR"/>
        </w:rPr>
        <w:lastRenderedPageBreak/>
        <w:t>2- Labellisation de territoires éducatifs</w:t>
      </w:r>
    </w:p>
    <w:p w14:paraId="7FFAB5D1" w14:textId="77777777" w:rsidR="00C70C63" w:rsidRPr="00C70C63" w:rsidRDefault="00C70C63" w:rsidP="00C70C63">
      <w:pPr>
        <w:widowControl/>
        <w:autoSpaceDE/>
        <w:autoSpaceDN/>
        <w:spacing w:before="120" w:after="240"/>
        <w:jc w:val="both"/>
        <w:rPr>
          <w:rFonts w:eastAsia="Calibri"/>
          <w:sz w:val="20"/>
          <w:szCs w:val="20"/>
          <w:lang w:val="fr-FR"/>
        </w:rPr>
      </w:pPr>
      <w:r w:rsidRPr="00C70C63">
        <w:rPr>
          <w:rFonts w:eastAsia="Calibri"/>
          <w:sz w:val="20"/>
          <w:szCs w:val="20"/>
          <w:lang w:val="fr-FR"/>
        </w:rPr>
        <w:t>Sur un même territoire plusieurs structures scolaires peuvent viser ensemble un label E3D collectif (exemples : une circonscription, un réseau d’écoles et son collège, un réseau collèges et lycées, mais aussi une cité scolaire ou un réseau d’éducation prioritaire). Chaque degré d’avancement de cette démarche, qui peut aller de la coordination à l’intégration, renvoie à un des trois niveaux de labellisation identifiés.</w:t>
      </w:r>
    </w:p>
    <w:p w14:paraId="501E0A36" w14:textId="77777777" w:rsidR="00C70C63" w:rsidRPr="00C70C63" w:rsidRDefault="00C70C63" w:rsidP="00C70C63">
      <w:pPr>
        <w:widowControl/>
        <w:shd w:val="clear" w:color="auto" w:fill="FFFFFF"/>
        <w:autoSpaceDE/>
        <w:autoSpaceDN/>
        <w:spacing w:before="120" w:after="240"/>
        <w:jc w:val="both"/>
        <w:rPr>
          <w:rFonts w:eastAsia="Times New Roman"/>
          <w:sz w:val="20"/>
          <w:szCs w:val="20"/>
          <w:lang w:val="fr-FR" w:eastAsia="fr-FR"/>
        </w:rPr>
      </w:pPr>
      <w:r w:rsidRPr="00C70C63">
        <w:rPr>
          <w:rFonts w:eastAsia="Times New Roman"/>
          <w:sz w:val="20"/>
          <w:szCs w:val="20"/>
          <w:lang w:val="fr-FR" w:eastAsia="fr-FR"/>
        </w:rPr>
        <w:t xml:space="preserve">La démarche peut être conçue de manière intégrée entre les différents cycles en impliquant, sur un même territoire, écoles, collèges, lycées, voire enseignement supérieur. Cette intégration inter-cycles permet notamment d’établir des continuités pédagogiques qui soutiennent la progression des élèves tout au long de leur scolarité, tout en révélant les cohérences entre les niveaux et les disciplines et en enrichissant les partenariats. </w:t>
      </w:r>
    </w:p>
    <w:p w14:paraId="2B7A9A0D" w14:textId="77777777" w:rsidR="00C70C63" w:rsidRPr="00C70C63" w:rsidRDefault="00C70C63" w:rsidP="00C70C63">
      <w:pPr>
        <w:widowControl/>
        <w:autoSpaceDE/>
        <w:autoSpaceDN/>
        <w:spacing w:before="120" w:after="240"/>
        <w:jc w:val="both"/>
        <w:rPr>
          <w:rFonts w:eastAsia="Calibri"/>
          <w:sz w:val="20"/>
          <w:szCs w:val="20"/>
          <w:lang w:val="fr-FR"/>
        </w:rPr>
      </w:pPr>
      <w:r w:rsidRPr="00C70C63">
        <w:rPr>
          <w:rFonts w:eastAsia="Calibri"/>
          <w:sz w:val="20"/>
          <w:szCs w:val="20"/>
          <w:lang w:val="fr-FR"/>
        </w:rPr>
        <w:t xml:space="preserve">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 </w:t>
      </w:r>
    </w:p>
    <w:p w14:paraId="1974B5CC" w14:textId="77777777" w:rsidR="00C70C63" w:rsidRPr="00C70C63" w:rsidRDefault="00C70C63" w:rsidP="00C70C63">
      <w:pPr>
        <w:widowControl/>
        <w:autoSpaceDE/>
        <w:autoSpaceDN/>
        <w:spacing w:before="120" w:after="240"/>
        <w:jc w:val="both"/>
        <w:rPr>
          <w:rFonts w:eastAsia="Calibri"/>
          <w:sz w:val="20"/>
          <w:szCs w:val="20"/>
          <w:lang w:val="fr-FR"/>
        </w:rPr>
      </w:pPr>
      <w:r w:rsidRPr="00C70C63">
        <w:rPr>
          <w:rFonts w:eastAsia="Calibri"/>
          <w:b/>
          <w:sz w:val="20"/>
          <w:szCs w:val="20"/>
          <w:lang w:val="fr-FR"/>
        </w:rPr>
        <w:t xml:space="preserve">Niveau 1 : territoire engagé </w:t>
      </w:r>
    </w:p>
    <w:p w14:paraId="2D6F1B1E" w14:textId="77777777" w:rsidR="00C70C63" w:rsidRPr="00C70C63" w:rsidRDefault="00C70C63" w:rsidP="00C70C63">
      <w:pPr>
        <w:widowControl/>
        <w:numPr>
          <w:ilvl w:val="0"/>
          <w:numId w:val="10"/>
        </w:numPr>
        <w:autoSpaceDE/>
        <w:autoSpaceDN/>
        <w:spacing w:before="120" w:after="240" w:line="259" w:lineRule="auto"/>
        <w:contextualSpacing/>
        <w:jc w:val="both"/>
        <w:rPr>
          <w:rFonts w:eastAsia="Calibri"/>
          <w:sz w:val="20"/>
          <w:szCs w:val="20"/>
          <w:lang w:val="fr-FR"/>
        </w:rPr>
      </w:pPr>
      <w:r w:rsidRPr="00C70C63">
        <w:rPr>
          <w:rFonts w:eastAsia="Calibri"/>
          <w:bCs/>
          <w:sz w:val="20"/>
          <w:szCs w:val="20"/>
          <w:lang w:val="fr-FR"/>
        </w:rPr>
        <w:t xml:space="preserve">Des actions inter-écoles ou inter-degrés sont mises en place en lien avec des ODD et en articulation avec les enseignements, </w:t>
      </w:r>
    </w:p>
    <w:p w14:paraId="1A7016BB" w14:textId="77777777" w:rsidR="00C70C63" w:rsidRPr="00C70C63" w:rsidRDefault="00C70C63" w:rsidP="00C70C63">
      <w:pPr>
        <w:widowControl/>
        <w:numPr>
          <w:ilvl w:val="0"/>
          <w:numId w:val="10"/>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Un diagnostic global et des recommandations sont dressés par les chefs d’établissements et leurs comités d’éducation au développement durable,</w:t>
      </w:r>
    </w:p>
    <w:p w14:paraId="5924CCB0" w14:textId="77777777" w:rsidR="00C70C63" w:rsidRPr="00C70C63" w:rsidRDefault="00C70C63" w:rsidP="00C70C63">
      <w:pPr>
        <w:widowControl/>
        <w:numPr>
          <w:ilvl w:val="0"/>
          <w:numId w:val="10"/>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La démarche fait l’objet de la création d’un comité de l’éducation au développement durable de territoire,</w:t>
      </w:r>
    </w:p>
    <w:p w14:paraId="73CD6416" w14:textId="77777777" w:rsidR="00C70C63" w:rsidRPr="00C70C63" w:rsidRDefault="00C70C63" w:rsidP="00C70C63">
      <w:pPr>
        <w:widowControl/>
        <w:numPr>
          <w:ilvl w:val="0"/>
          <w:numId w:val="10"/>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Les collectivités territoriales concernées sont engagées,</w:t>
      </w:r>
    </w:p>
    <w:p w14:paraId="29858C44" w14:textId="77777777" w:rsidR="00C70C63" w:rsidRPr="00C70C63" w:rsidRDefault="00C70C63" w:rsidP="00C70C63">
      <w:pPr>
        <w:widowControl/>
        <w:numPr>
          <w:ilvl w:val="0"/>
          <w:numId w:val="10"/>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Au moins deux structures du réseau sont labellisées E3D.</w:t>
      </w:r>
    </w:p>
    <w:p w14:paraId="0362D251" w14:textId="77777777" w:rsidR="00C70C63" w:rsidRPr="00C70C63" w:rsidRDefault="00C70C63" w:rsidP="00C70C63">
      <w:pPr>
        <w:widowControl/>
        <w:autoSpaceDE/>
        <w:autoSpaceDN/>
        <w:spacing w:before="120" w:after="240"/>
        <w:contextualSpacing/>
        <w:jc w:val="both"/>
        <w:rPr>
          <w:rFonts w:eastAsia="Calibri"/>
          <w:sz w:val="20"/>
          <w:szCs w:val="20"/>
          <w:lang w:val="fr-FR"/>
        </w:rPr>
      </w:pPr>
    </w:p>
    <w:p w14:paraId="012B1717" w14:textId="77777777" w:rsidR="00C70C63" w:rsidRPr="00C70C63" w:rsidRDefault="00C70C63" w:rsidP="00C70C63">
      <w:pPr>
        <w:widowControl/>
        <w:autoSpaceDE/>
        <w:autoSpaceDN/>
        <w:spacing w:before="120" w:after="240"/>
        <w:contextualSpacing/>
        <w:jc w:val="both"/>
        <w:rPr>
          <w:rFonts w:eastAsia="Calibri"/>
          <w:b/>
          <w:sz w:val="20"/>
          <w:szCs w:val="20"/>
          <w:lang w:val="fr-FR"/>
        </w:rPr>
      </w:pPr>
      <w:r w:rsidRPr="00C70C63">
        <w:rPr>
          <w:rFonts w:eastAsia="Calibri"/>
          <w:b/>
          <w:sz w:val="20"/>
          <w:szCs w:val="20"/>
          <w:lang w:val="fr-FR"/>
        </w:rPr>
        <w:t>Niveau 2 : territoire apprenant</w:t>
      </w:r>
    </w:p>
    <w:p w14:paraId="6D218087" w14:textId="77777777" w:rsidR="00C70C63" w:rsidRPr="00C70C63" w:rsidRDefault="00C70C63" w:rsidP="00C70C63">
      <w:pPr>
        <w:widowControl/>
        <w:autoSpaceDE/>
        <w:autoSpaceDN/>
        <w:spacing w:before="120" w:after="240"/>
        <w:contextualSpacing/>
        <w:jc w:val="both"/>
        <w:rPr>
          <w:rFonts w:eastAsia="Calibri"/>
          <w:sz w:val="20"/>
          <w:szCs w:val="20"/>
          <w:lang w:val="fr-FR"/>
        </w:rPr>
      </w:pPr>
    </w:p>
    <w:p w14:paraId="394CBD92" w14:textId="77777777" w:rsidR="00C70C63" w:rsidRPr="00C70C63" w:rsidRDefault="00C70C63" w:rsidP="00C70C63">
      <w:pPr>
        <w:widowControl/>
        <w:numPr>
          <w:ilvl w:val="0"/>
          <w:numId w:val="11"/>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Des projets EDD inter-écoles, inter-établissements ou inter-degré, se mettent en place de façon coordonnée,</w:t>
      </w:r>
    </w:p>
    <w:p w14:paraId="50115916" w14:textId="77777777" w:rsidR="00C70C63" w:rsidRPr="00C70C63" w:rsidRDefault="00C70C63" w:rsidP="00C70C63">
      <w:pPr>
        <w:widowControl/>
        <w:numPr>
          <w:ilvl w:val="0"/>
          <w:numId w:val="11"/>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Le comité de l’éducation au développement durable du territoire</w:t>
      </w:r>
      <w:r w:rsidRPr="00C70C63" w:rsidDel="0041632F">
        <w:rPr>
          <w:rFonts w:eastAsia="Calibri"/>
          <w:sz w:val="20"/>
          <w:szCs w:val="20"/>
          <w:lang w:val="fr-FR"/>
        </w:rPr>
        <w:t xml:space="preserve"> </w:t>
      </w:r>
      <w:r w:rsidRPr="00C70C63">
        <w:rPr>
          <w:rFonts w:eastAsia="Calibri"/>
          <w:sz w:val="20"/>
          <w:szCs w:val="20"/>
          <w:lang w:val="fr-FR"/>
        </w:rPr>
        <w:t>assure la coordination et la progressivité des projets et des actions EDD,</w:t>
      </w:r>
    </w:p>
    <w:p w14:paraId="44939308" w14:textId="242D48AB" w:rsidR="00C70C63" w:rsidRPr="00C70C63" w:rsidRDefault="00C70C63" w:rsidP="00C70C63">
      <w:pPr>
        <w:widowControl/>
        <w:numPr>
          <w:ilvl w:val="0"/>
          <w:numId w:val="11"/>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La formation à l’éducation au développement durable des personnels du territoire se met en place progressivement et les éco</w:t>
      </w:r>
      <w:r w:rsidR="00BF30BE">
        <w:rPr>
          <w:rFonts w:eastAsia="Calibri"/>
          <w:sz w:val="20"/>
          <w:szCs w:val="20"/>
          <w:lang w:val="fr-FR"/>
        </w:rPr>
        <w:t>-</w:t>
      </w:r>
      <w:r w:rsidRPr="00C70C63">
        <w:rPr>
          <w:rFonts w:eastAsia="Calibri"/>
          <w:sz w:val="20"/>
          <w:szCs w:val="20"/>
          <w:lang w:val="fr-FR"/>
        </w:rPr>
        <w:t>délégués des différents établissements travaillent ensemble,</w:t>
      </w:r>
    </w:p>
    <w:p w14:paraId="6C7C8547" w14:textId="77777777" w:rsidR="00C70C63" w:rsidRPr="00C70C63" w:rsidRDefault="00C70C63" w:rsidP="00C70C63">
      <w:pPr>
        <w:widowControl/>
        <w:numPr>
          <w:ilvl w:val="0"/>
          <w:numId w:val="11"/>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Des partenariats pérennes et structurants existent sur le territoire,</w:t>
      </w:r>
    </w:p>
    <w:p w14:paraId="0011D9CD" w14:textId="77777777" w:rsidR="00C70C63" w:rsidRPr="00C70C63" w:rsidRDefault="00C70C63" w:rsidP="00C70C63">
      <w:pPr>
        <w:widowControl/>
        <w:numPr>
          <w:ilvl w:val="0"/>
          <w:numId w:val="11"/>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Des actions de communication et de valorisation des actions menées sont mises en place, en coordination avec les collectivités territoriales de rattachement,</w:t>
      </w:r>
    </w:p>
    <w:p w14:paraId="47DD3B41" w14:textId="77777777" w:rsidR="00C70C63" w:rsidRPr="00C70C63" w:rsidRDefault="00C70C63" w:rsidP="00C70C63">
      <w:pPr>
        <w:widowControl/>
        <w:numPr>
          <w:ilvl w:val="0"/>
          <w:numId w:val="11"/>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Au moins la moitié des structures scolaires sont labélisées E3D sur le territoire.</w:t>
      </w:r>
    </w:p>
    <w:p w14:paraId="1C89D7B8" w14:textId="77777777" w:rsidR="00C354D4" w:rsidRPr="00C354D4" w:rsidRDefault="00C354D4" w:rsidP="00C70C63">
      <w:pPr>
        <w:widowControl/>
        <w:autoSpaceDE/>
        <w:autoSpaceDN/>
        <w:spacing w:before="120" w:after="240"/>
        <w:jc w:val="both"/>
        <w:rPr>
          <w:rFonts w:eastAsia="Calibri"/>
          <w:b/>
          <w:sz w:val="16"/>
          <w:szCs w:val="16"/>
          <w:lang w:val="fr-FR"/>
        </w:rPr>
      </w:pPr>
    </w:p>
    <w:p w14:paraId="0D3705C8" w14:textId="561C738D" w:rsidR="00C70C63" w:rsidRPr="00C70C63" w:rsidRDefault="00C70C63" w:rsidP="00C70C63">
      <w:pPr>
        <w:widowControl/>
        <w:autoSpaceDE/>
        <w:autoSpaceDN/>
        <w:spacing w:before="120" w:after="240"/>
        <w:jc w:val="both"/>
        <w:rPr>
          <w:rFonts w:eastAsia="Calibri"/>
          <w:b/>
          <w:sz w:val="20"/>
          <w:szCs w:val="20"/>
          <w:lang w:val="fr-FR"/>
        </w:rPr>
      </w:pPr>
      <w:r w:rsidRPr="00C70C63">
        <w:rPr>
          <w:rFonts w:eastAsia="Calibri"/>
          <w:b/>
          <w:sz w:val="20"/>
          <w:szCs w:val="20"/>
          <w:lang w:val="fr-FR"/>
        </w:rPr>
        <w:t>Niveau 3 : territoire durable</w:t>
      </w:r>
    </w:p>
    <w:p w14:paraId="12E5909E" w14:textId="77777777"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Des projets et actions d’EDD remarquables, coordonnés et transférables sont organisés sur le territoire,</w:t>
      </w:r>
    </w:p>
    <w:p w14:paraId="0BE9B167" w14:textId="0D26CA58"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Les éco</w:t>
      </w:r>
      <w:r w:rsidR="00BF30BE">
        <w:rPr>
          <w:rFonts w:eastAsia="Calibri"/>
          <w:sz w:val="20"/>
          <w:szCs w:val="20"/>
          <w:lang w:val="fr-FR"/>
        </w:rPr>
        <w:t>-</w:t>
      </w:r>
      <w:r w:rsidRPr="00C70C63">
        <w:rPr>
          <w:rFonts w:eastAsia="Calibri"/>
          <w:sz w:val="20"/>
          <w:szCs w:val="20"/>
          <w:lang w:val="fr-FR"/>
        </w:rPr>
        <w:t>délégués y sont des acteurs engagés et centraux, qui peuvent intervenir auprès des instances délibératives des collectivités territoriales de rattachement,</w:t>
      </w:r>
    </w:p>
    <w:p w14:paraId="1F477225" w14:textId="77777777"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Le territoire propose un parcours d’éducation au développement durable de l’élève coordonné et cohérent, si possible de la maternelle au lycée,</w:t>
      </w:r>
    </w:p>
    <w:p w14:paraId="12F2B1FD" w14:textId="77777777"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Une modification globale du fonctionnement des écoles et établissements du territoire permet de l’identifier comme un territoire contribuant du développement durable,</w:t>
      </w:r>
    </w:p>
    <w:p w14:paraId="03A2E166" w14:textId="77777777"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Une éthique du développement durable sur le territoire se met en place par exemple sous la forme de l’adhésion à une charte,</w:t>
      </w:r>
    </w:p>
    <w:p w14:paraId="1AADB929" w14:textId="77777777"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Une stratégie de pérennisation de la démarche est établie avec les partenaires institutionnels locaux,</w:t>
      </w:r>
    </w:p>
    <w:p w14:paraId="15A508BA" w14:textId="77777777" w:rsidR="00C70C63" w:rsidRPr="00C70C63" w:rsidRDefault="00C70C63" w:rsidP="00C70C63">
      <w:pPr>
        <w:widowControl/>
        <w:numPr>
          <w:ilvl w:val="0"/>
          <w:numId w:val="12"/>
        </w:numPr>
        <w:autoSpaceDE/>
        <w:autoSpaceDN/>
        <w:spacing w:before="120" w:after="240" w:line="259" w:lineRule="auto"/>
        <w:contextualSpacing/>
        <w:jc w:val="both"/>
        <w:rPr>
          <w:rFonts w:eastAsia="Calibri"/>
          <w:sz w:val="20"/>
          <w:szCs w:val="20"/>
          <w:lang w:val="fr-FR"/>
        </w:rPr>
      </w:pPr>
      <w:r w:rsidRPr="00C70C63">
        <w:rPr>
          <w:rFonts w:eastAsia="Calibri"/>
          <w:sz w:val="20"/>
          <w:szCs w:val="20"/>
          <w:lang w:val="fr-FR"/>
        </w:rPr>
        <w:t>Au moins les ¾ des écoles ou établissements du territoire sont labélisés E3D.</w:t>
      </w:r>
    </w:p>
    <w:p w14:paraId="5B7706DA" w14:textId="77777777" w:rsidR="005B7A28" w:rsidRPr="005B7A28" w:rsidRDefault="005B7A28" w:rsidP="00C70C63">
      <w:pPr>
        <w:pStyle w:val="Objet"/>
      </w:pPr>
    </w:p>
    <w:sectPr w:rsidR="005B7A28" w:rsidRPr="005B7A28" w:rsidSect="009C3B4E">
      <w:headerReference w:type="default" r:id="rId18"/>
      <w:footerReference w:type="default" r:id="rId19"/>
      <w:type w:val="continuous"/>
      <w:pgSz w:w="11910" w:h="16840"/>
      <w:pgMar w:top="568"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41D4D" w14:textId="77777777" w:rsidR="00FA40F8" w:rsidRDefault="00FA40F8" w:rsidP="0079276E">
      <w:r>
        <w:separator/>
      </w:r>
    </w:p>
  </w:endnote>
  <w:endnote w:type="continuationSeparator" w:id="0">
    <w:p w14:paraId="33319804" w14:textId="77777777" w:rsidR="00FA40F8" w:rsidRDefault="00FA40F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14:paraId="480F1D15"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6DB9177"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23E47" w14:textId="357FD725" w:rsidR="0079276E" w:rsidRPr="00F85296" w:rsidRDefault="000128C1" w:rsidP="000128C1">
    <w:pPr>
      <w:widowControl/>
      <w:adjustRightInd w:val="0"/>
      <w:jc w:val="center"/>
      <w:rPr>
        <w:lang w:val="fr-FR"/>
      </w:rPr>
    </w:pPr>
    <w:r w:rsidRPr="000128C1">
      <w:rPr>
        <w:lang w:val="fr-FR"/>
      </w:rPr>
      <w:fldChar w:fldCharType="begin"/>
    </w:r>
    <w:r w:rsidRPr="000128C1">
      <w:rPr>
        <w:lang w:val="fr-FR"/>
      </w:rPr>
      <w:instrText>PAGE   \* MERGEFORMAT</w:instrText>
    </w:r>
    <w:r w:rsidRPr="000128C1">
      <w:rPr>
        <w:lang w:val="fr-FR"/>
      </w:rPr>
      <w:fldChar w:fldCharType="separate"/>
    </w:r>
    <w:r w:rsidR="00F16D91">
      <w:rPr>
        <w:noProof/>
        <w:lang w:val="fr-FR"/>
      </w:rPr>
      <w:t>1</w:t>
    </w:r>
    <w:r w:rsidRPr="000128C1">
      <w:rPr>
        <w:lang w:val="fr-FR"/>
      </w:rPr>
      <w:fldChar w:fldCharType="end"/>
    </w:r>
    <w:r>
      <w:rPr>
        <w:lang w:val="fr-FR"/>
      </w:rPr>
      <w:t>/</w:t>
    </w:r>
    <w:r w:rsidR="005C4BCD">
      <w:rPr>
        <w:lang w:val="fr-FR"/>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8FA2" w14:textId="77777777" w:rsidR="002C53DF" w:rsidRPr="003D727A" w:rsidRDefault="002C53DF" w:rsidP="00A5209A">
    <w:pPr>
      <w:pStyle w:val="PieddePage0"/>
      <w:rPr>
        <w:sz w:val="16"/>
        <w:szCs w:val="16"/>
      </w:rPr>
    </w:pPr>
  </w:p>
  <w:p w14:paraId="774FF243" w14:textId="0271FBAC" w:rsidR="00396CA3" w:rsidRDefault="000128C1" w:rsidP="000128C1">
    <w:pPr>
      <w:jc w:val="center"/>
    </w:pPr>
    <w:r>
      <w:fldChar w:fldCharType="begin"/>
    </w:r>
    <w:r>
      <w:instrText>PAGE   \* MERGEFORMAT</w:instrText>
    </w:r>
    <w:r>
      <w:fldChar w:fldCharType="separate"/>
    </w:r>
    <w:r w:rsidR="00F16D91" w:rsidRPr="00F16D91">
      <w:rPr>
        <w:noProof/>
        <w:lang w:val="fr-FR"/>
      </w:rPr>
      <w:t>3</w:t>
    </w:r>
    <w:r>
      <w:fldChar w:fldCharType="end"/>
    </w:r>
    <w:r>
      <w:t>/</w:t>
    </w:r>
    <w:r w:rsidR="00EF39EB">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6D93" w14:textId="77777777" w:rsidR="00FA40F8" w:rsidRDefault="00FA40F8" w:rsidP="0079276E">
      <w:r>
        <w:separator/>
      </w:r>
    </w:p>
  </w:footnote>
  <w:footnote w:type="continuationSeparator" w:id="0">
    <w:p w14:paraId="13EAE230" w14:textId="77777777" w:rsidR="00FA40F8" w:rsidRDefault="00FA40F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F477" w14:textId="77777777" w:rsidR="00E429CA" w:rsidRDefault="00992DBA" w:rsidP="00DD19BF">
    <w:pPr>
      <w:pStyle w:val="En-tte"/>
      <w:tabs>
        <w:tab w:val="clear" w:pos="4513"/>
      </w:tabs>
      <w:jc w:val="right"/>
      <w:rPr>
        <w:b/>
        <w:bCs/>
        <w:sz w:val="24"/>
        <w:szCs w:val="24"/>
      </w:rPr>
    </w:pPr>
    <w:r>
      <w:rPr>
        <w:b/>
        <w:bCs/>
        <w:sz w:val="24"/>
        <w:szCs w:val="24"/>
      </w:rPr>
      <w:tab/>
    </w:r>
  </w:p>
  <w:p w14:paraId="5072608F" w14:textId="77777777" w:rsidR="00736EF4" w:rsidRDefault="00736EF4" w:rsidP="00DD19BF">
    <w:pPr>
      <w:pStyle w:val="En-tte"/>
      <w:tabs>
        <w:tab w:val="clear" w:pos="4513"/>
      </w:tabs>
      <w:jc w:val="right"/>
      <w:rPr>
        <w:b/>
        <w:sz w:val="24"/>
        <w:szCs w:val="24"/>
      </w:rPr>
    </w:pPr>
  </w:p>
  <w:p w14:paraId="4EEF2AEF" w14:textId="77777777" w:rsidR="00DD19BF" w:rsidRPr="006C7F9A" w:rsidRDefault="00DD19BF" w:rsidP="00DD19BF">
    <w:pPr>
      <w:pStyle w:val="En-tte"/>
      <w:tabs>
        <w:tab w:val="clear" w:pos="4513"/>
      </w:tabs>
      <w:jc w:val="right"/>
      <w:rPr>
        <w:b/>
        <w:sz w:val="24"/>
        <w:szCs w:val="24"/>
        <w:lang w:val="fr-FR"/>
      </w:rPr>
    </w:pPr>
    <w:r w:rsidRPr="006C7F9A">
      <w:rPr>
        <w:b/>
        <w:sz w:val="24"/>
        <w:szCs w:val="24"/>
        <w:lang w:val="fr-FR"/>
      </w:rPr>
      <w:t xml:space="preserve">Pôle expertise </w:t>
    </w:r>
  </w:p>
  <w:p w14:paraId="484EFC9F" w14:textId="77777777" w:rsidR="00DD19BF" w:rsidRPr="006C7F9A" w:rsidRDefault="00DD19BF" w:rsidP="00DD19BF">
    <w:pPr>
      <w:pStyle w:val="En-tte"/>
      <w:tabs>
        <w:tab w:val="clear" w:pos="4513"/>
      </w:tabs>
      <w:jc w:val="right"/>
      <w:rPr>
        <w:b/>
        <w:sz w:val="24"/>
        <w:szCs w:val="24"/>
        <w:lang w:val="fr-FR"/>
      </w:rPr>
    </w:pPr>
    <w:proofErr w:type="gramStart"/>
    <w:r w:rsidRPr="006C7F9A">
      <w:rPr>
        <w:b/>
        <w:sz w:val="24"/>
        <w:szCs w:val="24"/>
        <w:lang w:val="fr-FR"/>
      </w:rPr>
      <w:t>des</w:t>
    </w:r>
    <w:proofErr w:type="gramEnd"/>
    <w:r w:rsidRPr="006C7F9A">
      <w:rPr>
        <w:b/>
        <w:sz w:val="24"/>
        <w:szCs w:val="24"/>
        <w:lang w:val="fr-FR"/>
      </w:rPr>
      <w:t xml:space="preserve"> établissements et de la pédagogie</w:t>
    </w:r>
  </w:p>
  <w:p w14:paraId="193E4BE3" w14:textId="7BABE947" w:rsidR="00114E50" w:rsidRPr="006C7F9A" w:rsidRDefault="00F9794E" w:rsidP="00114E50">
    <w:pPr>
      <w:pStyle w:val="En-tte"/>
      <w:jc w:val="right"/>
      <w:rPr>
        <w:bCs/>
        <w:sz w:val="24"/>
        <w:szCs w:val="24"/>
        <w:lang w:val="fr-FR"/>
      </w:rPr>
    </w:pPr>
    <w:r>
      <w:rPr>
        <w:bCs/>
        <w:sz w:val="24"/>
        <w:szCs w:val="24"/>
        <w:lang w:val="fr-FR"/>
      </w:rPr>
      <w:tab/>
    </w:r>
    <w:r>
      <w:rPr>
        <w:bCs/>
        <w:sz w:val="24"/>
        <w:szCs w:val="24"/>
        <w:lang w:val="fr-FR"/>
      </w:rPr>
      <w:tab/>
    </w:r>
    <w:r w:rsidR="00114E50" w:rsidRPr="006C7F9A">
      <w:rPr>
        <w:bCs/>
        <w:sz w:val="24"/>
        <w:szCs w:val="24"/>
        <w:lang w:val="fr-FR"/>
      </w:rPr>
      <w:t xml:space="preserve">Délégation académique à la </w:t>
    </w:r>
    <w:r>
      <w:rPr>
        <w:bCs/>
        <w:sz w:val="24"/>
        <w:szCs w:val="24"/>
        <w:lang w:val="fr-FR"/>
      </w:rPr>
      <w:t>culture scientifique et technique, et à l’éducation au développement durable.</w:t>
    </w:r>
    <w:r w:rsidR="00114E50" w:rsidRPr="006C7F9A">
      <w:rPr>
        <w:bCs/>
        <w:sz w:val="24"/>
        <w:szCs w:val="24"/>
        <w:lang w:val="fr-FR"/>
      </w:rPr>
      <w:t xml:space="preserve"> </w:t>
    </w:r>
  </w:p>
  <w:p w14:paraId="05F1FB11" w14:textId="1E3D4E60" w:rsidR="006626B6" w:rsidRPr="006C7F9A" w:rsidRDefault="007F65A5" w:rsidP="00736EF4">
    <w:pPr>
      <w:pStyle w:val="En-tte"/>
      <w:jc w:val="right"/>
      <w:rPr>
        <w:bCs/>
        <w:sz w:val="24"/>
        <w:szCs w:val="24"/>
        <w:lang w:val="fr-FR"/>
      </w:rPr>
    </w:pPr>
    <w:r w:rsidRPr="00114E50">
      <w:rPr>
        <w:b/>
        <w:noProof/>
        <w:lang w:val="fr-FR" w:eastAsia="fr-FR"/>
      </w:rPr>
      <w:drawing>
        <wp:anchor distT="0" distB="0" distL="114300" distR="114300" simplePos="0" relativeHeight="251663359" behindDoc="0" locked="0" layoutInCell="1" allowOverlap="1" wp14:anchorId="4B1B12C4" wp14:editId="68ABCCEE">
          <wp:simplePos x="0" y="0"/>
          <wp:positionH relativeFrom="margin">
            <wp:posOffset>-142875</wp:posOffset>
          </wp:positionH>
          <wp:positionV relativeFrom="page">
            <wp:posOffset>370840</wp:posOffset>
          </wp:positionV>
          <wp:extent cx="2754000" cy="1231200"/>
          <wp:effectExtent l="0" t="0" r="825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RNC-DGE.png"/>
                  <pic:cNvPicPr/>
                </pic:nvPicPr>
                <pic:blipFill>
                  <a:blip r:embed="rId1">
                    <a:extLst>
                      <a:ext uri="{28A0092B-C50C-407E-A947-70E740481C1C}">
                        <a14:useLocalDpi xmlns:a14="http://schemas.microsoft.com/office/drawing/2010/main" val="0"/>
                      </a:ext>
                    </a:extLst>
                  </a:blip>
                  <a:stretch>
                    <a:fillRect/>
                  </a:stretch>
                </pic:blipFill>
                <pic:spPr>
                  <a:xfrm>
                    <a:off x="0" y="0"/>
                    <a:ext cx="2754000" cy="123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C8E0" w14:textId="77777777" w:rsidR="003240AC" w:rsidRPr="003240AC" w:rsidRDefault="003240AC" w:rsidP="003240AC">
    <w:pPr>
      <w:pStyle w:val="En-tte"/>
      <w:tabs>
        <w:tab w:val="clear" w:pos="4513"/>
      </w:tabs>
      <w:rPr>
        <w:b/>
        <w:bCs/>
        <w:sz w:val="24"/>
        <w:szCs w:val="24"/>
      </w:rPr>
    </w:pPr>
  </w:p>
  <w:p w14:paraId="28FEE28F" w14:textId="77777777" w:rsidR="00396CA3" w:rsidRDefault="00396C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7511"/>
    <w:multiLevelType w:val="hybridMultilevel"/>
    <w:tmpl w:val="CB52A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23404"/>
    <w:multiLevelType w:val="hybridMultilevel"/>
    <w:tmpl w:val="8C901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E793E"/>
    <w:multiLevelType w:val="hybridMultilevel"/>
    <w:tmpl w:val="4162C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3CD747E5"/>
    <w:multiLevelType w:val="hybridMultilevel"/>
    <w:tmpl w:val="BB96E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A93A12"/>
    <w:multiLevelType w:val="hybridMultilevel"/>
    <w:tmpl w:val="02523C68"/>
    <w:lvl w:ilvl="0" w:tplc="040C000B">
      <w:start w:val="1"/>
      <w:numFmt w:val="bullet"/>
      <w:lvlText w:val=""/>
      <w:lvlJc w:val="left"/>
      <w:pPr>
        <w:ind w:left="1473" w:hanging="360"/>
      </w:pPr>
      <w:rPr>
        <w:rFonts w:ascii="Wingdings" w:hAnsi="Wingdings" w:hint="default"/>
      </w:rPr>
    </w:lvl>
    <w:lvl w:ilvl="1" w:tplc="040C0003" w:tentative="1">
      <w:start w:val="1"/>
      <w:numFmt w:val="bullet"/>
      <w:lvlText w:val="o"/>
      <w:lvlJc w:val="left"/>
      <w:pPr>
        <w:ind w:left="2193" w:hanging="360"/>
      </w:pPr>
      <w:rPr>
        <w:rFonts w:ascii="Courier New" w:hAnsi="Courier New" w:cs="Courier New"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cs="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cs="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1B0EAF"/>
    <w:multiLevelType w:val="hybridMultilevel"/>
    <w:tmpl w:val="0CF6A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7744B2"/>
    <w:multiLevelType w:val="hybridMultilevel"/>
    <w:tmpl w:val="66B4610E"/>
    <w:lvl w:ilvl="0" w:tplc="C19292C2">
      <w:start w:val="1"/>
      <w:numFmt w:val="bullet"/>
      <w:lvlText w:val=""/>
      <w:lvlJc w:val="left"/>
      <w:pPr>
        <w:ind w:left="3414" w:hanging="360"/>
      </w:pPr>
      <w:rPr>
        <w:rFonts w:ascii="Symbol" w:hAnsi="Symbol"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11" w15:restartNumberingAfterBreak="0">
    <w:nsid w:val="7FA81D98"/>
    <w:multiLevelType w:val="hybridMultilevel"/>
    <w:tmpl w:val="FC72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6"/>
  </w:num>
  <w:num w:numId="6">
    <w:abstractNumId w:val="10"/>
  </w:num>
  <w:num w:numId="7">
    <w:abstractNumId w:val="9"/>
  </w:num>
  <w:num w:numId="8">
    <w:abstractNumId w:val="2"/>
  </w:num>
  <w:num w:numId="9">
    <w:abstractNumId w:val="5"/>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9A"/>
    <w:rsid w:val="0000262C"/>
    <w:rsid w:val="000128C1"/>
    <w:rsid w:val="00014832"/>
    <w:rsid w:val="00015220"/>
    <w:rsid w:val="00045DCD"/>
    <w:rsid w:val="00046EC0"/>
    <w:rsid w:val="00081F5E"/>
    <w:rsid w:val="000825AD"/>
    <w:rsid w:val="000924D0"/>
    <w:rsid w:val="000B45FC"/>
    <w:rsid w:val="00114E50"/>
    <w:rsid w:val="001200FD"/>
    <w:rsid w:val="001456E5"/>
    <w:rsid w:val="001648E4"/>
    <w:rsid w:val="0018018F"/>
    <w:rsid w:val="001C2958"/>
    <w:rsid w:val="001C79E5"/>
    <w:rsid w:val="001F209A"/>
    <w:rsid w:val="00202B2A"/>
    <w:rsid w:val="00211FC8"/>
    <w:rsid w:val="00224452"/>
    <w:rsid w:val="00290741"/>
    <w:rsid w:val="00290CE8"/>
    <w:rsid w:val="00293194"/>
    <w:rsid w:val="002C53DF"/>
    <w:rsid w:val="002F1D2E"/>
    <w:rsid w:val="00304C30"/>
    <w:rsid w:val="003240AC"/>
    <w:rsid w:val="00345ECB"/>
    <w:rsid w:val="00395DDA"/>
    <w:rsid w:val="00396CA3"/>
    <w:rsid w:val="003A7BC3"/>
    <w:rsid w:val="003D1DE1"/>
    <w:rsid w:val="003D6FC8"/>
    <w:rsid w:val="003D727A"/>
    <w:rsid w:val="003F07B0"/>
    <w:rsid w:val="003F2312"/>
    <w:rsid w:val="0042101F"/>
    <w:rsid w:val="00451392"/>
    <w:rsid w:val="004529DA"/>
    <w:rsid w:val="00452D76"/>
    <w:rsid w:val="004608CD"/>
    <w:rsid w:val="00474F58"/>
    <w:rsid w:val="004936AF"/>
    <w:rsid w:val="004A0A42"/>
    <w:rsid w:val="004C5046"/>
    <w:rsid w:val="004C7346"/>
    <w:rsid w:val="004D0D46"/>
    <w:rsid w:val="004D1619"/>
    <w:rsid w:val="004E7415"/>
    <w:rsid w:val="00521BCD"/>
    <w:rsid w:val="00533FB0"/>
    <w:rsid w:val="00537128"/>
    <w:rsid w:val="005378F8"/>
    <w:rsid w:val="0054073A"/>
    <w:rsid w:val="005407BB"/>
    <w:rsid w:val="00563770"/>
    <w:rsid w:val="00572410"/>
    <w:rsid w:val="005972E3"/>
    <w:rsid w:val="005B11B6"/>
    <w:rsid w:val="005B6F0D"/>
    <w:rsid w:val="005B7A28"/>
    <w:rsid w:val="005C0ED4"/>
    <w:rsid w:val="005C4846"/>
    <w:rsid w:val="005C4BCD"/>
    <w:rsid w:val="005E750D"/>
    <w:rsid w:val="005F0325"/>
    <w:rsid w:val="005F2E98"/>
    <w:rsid w:val="005F469D"/>
    <w:rsid w:val="00601526"/>
    <w:rsid w:val="00625D93"/>
    <w:rsid w:val="00643EA9"/>
    <w:rsid w:val="00651077"/>
    <w:rsid w:val="006626B6"/>
    <w:rsid w:val="006859B0"/>
    <w:rsid w:val="006914AD"/>
    <w:rsid w:val="006A4ADA"/>
    <w:rsid w:val="006B5A92"/>
    <w:rsid w:val="006C7F9A"/>
    <w:rsid w:val="006D502A"/>
    <w:rsid w:val="006E455E"/>
    <w:rsid w:val="006F2701"/>
    <w:rsid w:val="006F3B25"/>
    <w:rsid w:val="00736EF4"/>
    <w:rsid w:val="00742A03"/>
    <w:rsid w:val="0079276E"/>
    <w:rsid w:val="007B4F8D"/>
    <w:rsid w:val="007B56DA"/>
    <w:rsid w:val="007B6F11"/>
    <w:rsid w:val="007E2D34"/>
    <w:rsid w:val="007F1724"/>
    <w:rsid w:val="007F56D7"/>
    <w:rsid w:val="007F65A5"/>
    <w:rsid w:val="00807CCD"/>
    <w:rsid w:val="0081060F"/>
    <w:rsid w:val="00810654"/>
    <w:rsid w:val="00822782"/>
    <w:rsid w:val="008347E0"/>
    <w:rsid w:val="00851458"/>
    <w:rsid w:val="00861319"/>
    <w:rsid w:val="008A73FE"/>
    <w:rsid w:val="00930B38"/>
    <w:rsid w:val="00936712"/>
    <w:rsid w:val="00936E45"/>
    <w:rsid w:val="00941377"/>
    <w:rsid w:val="009578A8"/>
    <w:rsid w:val="00992DBA"/>
    <w:rsid w:val="009B53F4"/>
    <w:rsid w:val="009C0C96"/>
    <w:rsid w:val="009C141C"/>
    <w:rsid w:val="009C3B4E"/>
    <w:rsid w:val="009F56A7"/>
    <w:rsid w:val="009F692C"/>
    <w:rsid w:val="00A10A83"/>
    <w:rsid w:val="00A124A0"/>
    <w:rsid w:val="00A1486F"/>
    <w:rsid w:val="00A151AB"/>
    <w:rsid w:val="00A30EA6"/>
    <w:rsid w:val="00A5209A"/>
    <w:rsid w:val="00A555F3"/>
    <w:rsid w:val="00A62842"/>
    <w:rsid w:val="00A84CCB"/>
    <w:rsid w:val="00AB1717"/>
    <w:rsid w:val="00AE48FE"/>
    <w:rsid w:val="00AF1D5B"/>
    <w:rsid w:val="00B0196E"/>
    <w:rsid w:val="00B37451"/>
    <w:rsid w:val="00B46AF7"/>
    <w:rsid w:val="00B55B58"/>
    <w:rsid w:val="00B81A6B"/>
    <w:rsid w:val="00BB6DF7"/>
    <w:rsid w:val="00BC02D8"/>
    <w:rsid w:val="00BF30BE"/>
    <w:rsid w:val="00BF4FD0"/>
    <w:rsid w:val="00C02C5B"/>
    <w:rsid w:val="00C220A3"/>
    <w:rsid w:val="00C272FC"/>
    <w:rsid w:val="00C350E6"/>
    <w:rsid w:val="00C354D4"/>
    <w:rsid w:val="00C36FAA"/>
    <w:rsid w:val="00C66322"/>
    <w:rsid w:val="00C67312"/>
    <w:rsid w:val="00C70C63"/>
    <w:rsid w:val="00C7451D"/>
    <w:rsid w:val="00CA059A"/>
    <w:rsid w:val="00CC25FB"/>
    <w:rsid w:val="00CD5E65"/>
    <w:rsid w:val="00CE16E3"/>
    <w:rsid w:val="00CE1BE6"/>
    <w:rsid w:val="00D10C52"/>
    <w:rsid w:val="00D2367F"/>
    <w:rsid w:val="00D33D70"/>
    <w:rsid w:val="00D45BE0"/>
    <w:rsid w:val="00D96935"/>
    <w:rsid w:val="00DA2090"/>
    <w:rsid w:val="00DA3822"/>
    <w:rsid w:val="00DD19BF"/>
    <w:rsid w:val="00DD50D6"/>
    <w:rsid w:val="00E05336"/>
    <w:rsid w:val="00E25251"/>
    <w:rsid w:val="00E259BA"/>
    <w:rsid w:val="00E26D57"/>
    <w:rsid w:val="00E32EED"/>
    <w:rsid w:val="00E429CA"/>
    <w:rsid w:val="00E47097"/>
    <w:rsid w:val="00E669F0"/>
    <w:rsid w:val="00E7012B"/>
    <w:rsid w:val="00EA679F"/>
    <w:rsid w:val="00EF39EB"/>
    <w:rsid w:val="00EF5CF0"/>
    <w:rsid w:val="00F043B7"/>
    <w:rsid w:val="00F16D91"/>
    <w:rsid w:val="00F17E7F"/>
    <w:rsid w:val="00F202E2"/>
    <w:rsid w:val="00F22CF7"/>
    <w:rsid w:val="00F2464C"/>
    <w:rsid w:val="00F25DA3"/>
    <w:rsid w:val="00F261BB"/>
    <w:rsid w:val="00F542FC"/>
    <w:rsid w:val="00F7722A"/>
    <w:rsid w:val="00F85296"/>
    <w:rsid w:val="00F9794E"/>
    <w:rsid w:val="00FA40F8"/>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36913"/>
  <w15:docId w15:val="{6B174AD9-44D6-4CE1-8ACB-215A1CF9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2244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4452"/>
    <w:rPr>
      <w:rFonts w:ascii="Segoe UI" w:hAnsi="Segoe UI" w:cs="Segoe UI"/>
      <w:sz w:val="18"/>
      <w:szCs w:val="18"/>
    </w:rPr>
  </w:style>
  <w:style w:type="character" w:customStyle="1" w:styleId="UnresolvedMention">
    <w:name w:val="Unresolved Mention"/>
    <w:basedOn w:val="Policepardfaut"/>
    <w:uiPriority w:val="99"/>
    <w:semiHidden/>
    <w:unhideWhenUsed/>
    <w:rsid w:val="00C35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riam-Luce.Aubry-Maloungila@ac-noumea.n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uv.fr/bo/20/Hebdo36/MENE2025449C.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tier\Documents\EDD\2021\MODELE%20COURRIER%202021\courrier2021_delegation.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4.xml><?xml version="1.0" encoding="utf-8"?>
<ds:datastoreItem xmlns:ds="http://schemas.openxmlformats.org/officeDocument/2006/customXml" ds:itemID="{449442B2-ACE3-47C1-AE7A-30F13340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courrier2021_delegation</Template>
  <TotalTime>0</TotalTime>
  <Pages>3</Pages>
  <Words>1511</Words>
  <Characters>8311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SEBASTIEN MAUX</dc:creator>
  <cp:lastModifiedBy>maubry-maloungila</cp:lastModifiedBy>
  <cp:revision>2</cp:revision>
  <cp:lastPrinted>2022-05-05T02:52:00Z</cp:lastPrinted>
  <dcterms:created xsi:type="dcterms:W3CDTF">2022-05-05T09:35:00Z</dcterms:created>
  <dcterms:modified xsi:type="dcterms:W3CDTF">2022-05-05T09:35:00Z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